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5CDB" w:rsidRDefault="00A65CDB">
      <w:pPr>
        <w:rPr>
          <w:lang w:val="en-US"/>
        </w:rPr>
      </w:pPr>
    </w:p>
    <w:p w:rsidR="00A65CDB" w:rsidRDefault="00A65CDB">
      <w:pPr>
        <w:rPr>
          <w:lang w:val="en-US"/>
        </w:rPr>
      </w:pPr>
    </w:p>
    <w:p w:rsidR="00A65CDB" w:rsidRDefault="000079D8">
      <w:pPr>
        <w:rPr>
          <w:lang w:val="en-US"/>
        </w:rPr>
      </w:pPr>
      <w:r>
        <w:pict>
          <v:shapetype id="_x0000_t202" coordsize="21600,21600" o:spt="202" path="m,l,21600r21600,l21600,xe">
            <v:stroke joinstyle="miter"/>
            <v:path gradientshapeok="t" o:connecttype="rect"/>
          </v:shapetype>
          <v:shape id="_x0000_s1030" type="#_x0000_t202" style="position:absolute;left:0;text-align:left;margin-left:39.85pt;margin-top:12.15pt;width:394.6pt;height:187.7pt;z-index:251658752;mso-wrap-distance-left:9.05pt;mso-wrap-distance-right:9.05pt" stroked="f">
            <v:fill opacity="0" color2="black"/>
            <v:textbox style="mso-next-textbox:#_x0000_s1030" inset="0,0,0,0">
              <w:txbxContent>
                <w:p w:rsidR="00406EB3" w:rsidRDefault="00406EB3" w:rsidP="00870ADB">
                  <w:pPr>
                    <w:pStyle w:val="Title"/>
                  </w:pPr>
                  <w:r>
                    <w:rPr>
                      <w:i/>
                    </w:rPr>
                    <w:t>Regional EHR</w:t>
                  </w:r>
                  <w:r>
                    <w:rPr>
                      <w:i/>
                    </w:rPr>
                    <w:br/>
                    <w:t>design issues - Consent</w:t>
                  </w:r>
                </w:p>
                <w:p w:rsidR="00406EB3" w:rsidRDefault="00406EB3" w:rsidP="00044E00">
                  <w:pPr>
                    <w:jc w:val="center"/>
                    <w:rPr>
                      <w:b/>
                      <w:bCs/>
                      <w:lang w:val="en-US"/>
                    </w:rPr>
                  </w:pPr>
                </w:p>
                <w:p w:rsidR="00406EB3" w:rsidRDefault="00406EB3" w:rsidP="00870ADB">
                  <w:pPr>
                    <w:jc w:val="center"/>
                    <w:rPr>
                      <w:b/>
                      <w:bCs/>
                      <w:sz w:val="36"/>
                      <w:szCs w:val="36"/>
                      <w:lang w:val="en-US"/>
                    </w:rPr>
                  </w:pPr>
                </w:p>
                <w:p w:rsidR="00406EB3" w:rsidRPr="00870ADB" w:rsidRDefault="00D52732" w:rsidP="00870ADB">
                  <w:pPr>
                    <w:jc w:val="center"/>
                    <w:rPr>
                      <w:rFonts w:ascii="Gill Sans MT" w:hAnsi="Gill Sans MT"/>
                      <w:b/>
                      <w:sz w:val="28"/>
                      <w:szCs w:val="28"/>
                    </w:rPr>
                  </w:pPr>
                  <w:proofErr w:type="spellStart"/>
                  <w:r>
                    <w:rPr>
                      <w:rFonts w:ascii="Gill Sans MT" w:hAnsi="Gill Sans MT"/>
                      <w:b/>
                      <w:sz w:val="28"/>
                      <w:szCs w:val="28"/>
                    </w:rPr>
                    <w:t>openEHR</w:t>
                  </w:r>
                  <w:proofErr w:type="spellEnd"/>
                </w:p>
                <w:p w:rsidR="00406EB3" w:rsidRPr="00870ADB" w:rsidRDefault="00406EB3" w:rsidP="00870ADB">
                  <w:pPr>
                    <w:jc w:val="center"/>
                    <w:rPr>
                      <w:rFonts w:ascii="Gill Sans MT" w:hAnsi="Gill Sans MT"/>
                      <w:sz w:val="22"/>
                      <w:szCs w:val="20"/>
                    </w:rPr>
                  </w:pPr>
                </w:p>
              </w:txbxContent>
            </v:textbox>
          </v:shape>
        </w:pict>
      </w:r>
    </w:p>
    <w:p w:rsidR="00A65CDB" w:rsidRDefault="000079D8">
      <w:pPr>
        <w:pStyle w:val="TableOfContents"/>
      </w:pPr>
      <w:r>
        <w:rPr>
          <w:noProof/>
          <w:lang w:eastAsia="en-US"/>
        </w:rPr>
        <w:pict>
          <v:shape id="_x0000_s1032" type="#_x0000_t202" style="position:absolute;left:0;text-align:left;margin-left:229.5pt;margin-top:557.05pt;width:247.35pt;height:68.45pt;z-index:251660800" stroked="f">
            <v:textbox style="mso-next-textbox:#_x0000_s1032">
              <w:txbxContent>
                <w:p w:rsidR="00406EB3" w:rsidRDefault="00406EB3">
                  <w:pPr>
                    <w:rPr>
                      <w:rFonts w:ascii="Arial" w:hAnsi="Arial"/>
                      <w:spacing w:val="32"/>
                      <w:sz w:val="36"/>
                      <w:szCs w:val="36"/>
                      <w:lang w:val="en-GB"/>
                    </w:rPr>
                  </w:pPr>
                  <w:r>
                    <w:rPr>
                      <w:noProof/>
                      <w:lang w:val="en-GB" w:eastAsia="en-GB"/>
                    </w:rPr>
                    <w:drawing>
                      <wp:inline distT="0" distB="0" distL="0" distR="0" wp14:anchorId="128315D0" wp14:editId="49E890F9">
                        <wp:extent cx="2958465" cy="6339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ssemantica_logo_a.png"/>
                                <pic:cNvPicPr/>
                              </pic:nvPicPr>
                              <pic:blipFill>
                                <a:blip r:embed="rId8">
                                  <a:extLst>
                                    <a:ext uri="{28A0092B-C50C-407E-A947-70E740481C1C}">
                                      <a14:useLocalDpi xmlns:a14="http://schemas.microsoft.com/office/drawing/2010/main" val="0"/>
                                    </a:ext>
                                  </a:extLst>
                                </a:blip>
                                <a:stretch>
                                  <a:fillRect/>
                                </a:stretch>
                              </pic:blipFill>
                              <pic:spPr>
                                <a:xfrm>
                                  <a:off x="0" y="0"/>
                                  <a:ext cx="2958465" cy="633957"/>
                                </a:xfrm>
                                <a:prstGeom prst="rect">
                                  <a:avLst/>
                                </a:prstGeom>
                              </pic:spPr>
                            </pic:pic>
                          </a:graphicData>
                        </a:graphic>
                      </wp:inline>
                    </w:drawing>
                  </w:r>
                </w:p>
                <w:p w:rsidR="00406EB3" w:rsidRDefault="00406EB3">
                  <w:pPr>
                    <w:rPr>
                      <w:rFonts w:ascii="Arial" w:hAnsi="Arial"/>
                      <w:spacing w:val="32"/>
                      <w:sz w:val="36"/>
                      <w:szCs w:val="36"/>
                      <w:lang w:val="en-GB"/>
                    </w:rPr>
                  </w:pPr>
                </w:p>
                <w:p w:rsidR="00406EB3" w:rsidRPr="00870ADB" w:rsidRDefault="00406EB3">
                  <w:pPr>
                    <w:rPr>
                      <w:rFonts w:ascii="Arial" w:hAnsi="Arial"/>
                      <w:spacing w:val="32"/>
                      <w:sz w:val="36"/>
                      <w:szCs w:val="36"/>
                      <w:lang w:val="en-GB"/>
                    </w:rPr>
                  </w:pPr>
                </w:p>
              </w:txbxContent>
            </v:textbox>
          </v:shape>
        </w:pict>
      </w:r>
      <w:r>
        <w:pict>
          <v:shape id="_x0000_s1026" type="#_x0000_t202" style="position:absolute;left:0;text-align:left;margin-left:-48.45pt;margin-top:456.6pt;width:258.95pt;height:63.05pt;z-index:251654656;mso-wrap-distance-left:9.05pt;mso-wrap-distance-right:9.05pt" stroked="f">
            <v:fill opacity="0" color2="black"/>
            <v:textbox style="mso-next-textbox:#_x0000_s1026" inset="0,0,0,0">
              <w:txbxContent>
                <w:p w:rsidR="00406EB3" w:rsidRDefault="00406EB3" w:rsidP="008B39FB">
                  <w:pPr>
                    <w:rPr>
                      <w:rFonts w:ascii="Verdana" w:hAnsi="Verdana"/>
                      <w:sz w:val="20"/>
                    </w:rPr>
                  </w:pPr>
                  <w:r>
                    <w:rPr>
                      <w:rFonts w:ascii="Verdana" w:hAnsi="Verdana"/>
                      <w:b/>
                      <w:sz w:val="20"/>
                    </w:rPr>
                    <w:t>Date</w:t>
                  </w:r>
                  <w:r>
                    <w:rPr>
                      <w:rFonts w:ascii="Verdana" w:hAnsi="Verdana"/>
                      <w:sz w:val="20"/>
                    </w:rPr>
                    <w:tab/>
                  </w:r>
                  <w:r>
                    <w:rPr>
                      <w:rFonts w:ascii="Verdana" w:hAnsi="Verdana"/>
                      <w:sz w:val="20"/>
                    </w:rPr>
                    <w:tab/>
                    <w:t>Mar, 2016</w:t>
                  </w:r>
                  <w:r>
                    <w:rPr>
                      <w:rFonts w:ascii="Verdana" w:hAnsi="Verdana"/>
                      <w:sz w:val="20"/>
                    </w:rPr>
                    <w:br/>
                  </w:r>
                  <w:r>
                    <w:rPr>
                      <w:rFonts w:ascii="Verdana" w:hAnsi="Verdana"/>
                      <w:b/>
                      <w:sz w:val="20"/>
                    </w:rPr>
                    <w:t xml:space="preserve">Prepared </w:t>
                  </w:r>
                  <w:proofErr w:type="gramStart"/>
                  <w:r>
                    <w:rPr>
                      <w:rFonts w:ascii="Verdana" w:hAnsi="Verdana"/>
                      <w:b/>
                      <w:sz w:val="20"/>
                    </w:rPr>
                    <w:t>By</w:t>
                  </w:r>
                  <w:proofErr w:type="gramEnd"/>
                  <w:r>
                    <w:rPr>
                      <w:rFonts w:ascii="Gill Sans MT" w:hAnsi="Gill Sans MT"/>
                      <w:b/>
                      <w:sz w:val="20"/>
                    </w:rPr>
                    <w:tab/>
                  </w:r>
                  <w:r>
                    <w:rPr>
                      <w:rFonts w:ascii="Verdana" w:hAnsi="Verdana"/>
                      <w:sz w:val="20"/>
                    </w:rPr>
                    <w:t>Thomas Beale</w:t>
                  </w:r>
                  <w:r>
                    <w:rPr>
                      <w:rFonts w:ascii="Verdana" w:hAnsi="Verdana"/>
                      <w:sz w:val="20"/>
                    </w:rPr>
                    <w:br/>
                  </w:r>
                  <w:r>
                    <w:rPr>
                      <w:rFonts w:ascii="Verdana" w:hAnsi="Verdana"/>
                      <w:sz w:val="20"/>
                    </w:rPr>
                    <w:tab/>
                  </w:r>
                  <w:r>
                    <w:rPr>
                      <w:rFonts w:ascii="Verdana" w:hAnsi="Verdana"/>
                      <w:sz w:val="20"/>
                    </w:rPr>
                    <w:tab/>
                    <w:t xml:space="preserve">Ars </w:t>
                  </w:r>
                  <w:proofErr w:type="spellStart"/>
                  <w:r>
                    <w:rPr>
                      <w:rFonts w:ascii="Verdana" w:hAnsi="Verdana"/>
                      <w:sz w:val="20"/>
                    </w:rPr>
                    <w:t>Semantica</w:t>
                  </w:r>
                  <w:proofErr w:type="spellEnd"/>
                  <w:r>
                    <w:rPr>
                      <w:rFonts w:ascii="Verdana" w:hAnsi="Verdana"/>
                      <w:sz w:val="20"/>
                    </w:rPr>
                    <w:br/>
                  </w:r>
                  <w:r>
                    <w:rPr>
                      <w:rFonts w:ascii="Verdana" w:hAnsi="Verdana"/>
                      <w:sz w:val="20"/>
                    </w:rPr>
                    <w:tab/>
                  </w:r>
                  <w:r>
                    <w:rPr>
                      <w:rFonts w:ascii="Verdana" w:hAnsi="Verdana"/>
                      <w:sz w:val="20"/>
                    </w:rPr>
                    <w:tab/>
                  </w:r>
                </w:p>
                <w:p w:rsidR="00406EB3" w:rsidRDefault="00406EB3" w:rsidP="008B39FB">
                  <w:pPr>
                    <w:rPr>
                      <w:rFonts w:ascii="Verdana" w:hAnsi="Verdana"/>
                      <w:sz w:val="20"/>
                    </w:rPr>
                  </w:pPr>
                </w:p>
                <w:p w:rsidR="00406EB3" w:rsidRDefault="00406EB3">
                  <w:pPr>
                    <w:rPr>
                      <w:rFonts w:ascii="Verdana" w:hAnsi="Verdana"/>
                      <w:sz w:val="20"/>
                    </w:rPr>
                  </w:pPr>
                </w:p>
                <w:p w:rsidR="00406EB3" w:rsidRDefault="00406EB3">
                  <w:pPr>
                    <w:rPr>
                      <w:rFonts w:ascii="Verdana" w:hAnsi="Verdana"/>
                      <w:sz w:val="20"/>
                    </w:rPr>
                  </w:pPr>
                </w:p>
                <w:p w:rsidR="00406EB3" w:rsidRDefault="00406EB3">
                  <w:pPr>
                    <w:rPr>
                      <w:rFonts w:ascii="Gill Sans MT" w:hAnsi="Gill Sans MT"/>
                      <w:sz w:val="18"/>
                      <w:szCs w:val="20"/>
                    </w:rPr>
                  </w:pPr>
                </w:p>
              </w:txbxContent>
            </v:textbox>
          </v:shape>
        </w:pict>
      </w:r>
      <w:r>
        <w:pict>
          <v:line id="_x0000_s1031" style="position:absolute;left:0;text-align:left;z-index:251659776" from="98.7pt,47.2pt" to="388.55pt,47.2pt" strokeweight=".26mm">
            <v:stroke joinstyle="miter"/>
          </v:line>
        </w:pict>
      </w:r>
      <w:r>
        <w:pict>
          <v:shape id="_x0000_s1029" type="#_x0000_t202" style="position:absolute;left:0;text-align:left;margin-left:-47.15pt;margin-top:527.35pt;width:214.1pt;height:95.55pt;z-index:251657728;mso-wrap-distance-left:9.05pt;mso-wrap-distance-right:9.05pt" stroked="f">
            <v:fill opacity="0" color2="black"/>
            <v:textbox style="mso-next-textbox:#_x0000_s1029" inset="0,0,0,0">
              <w:txbxContent>
                <w:p w:rsidR="00406EB3" w:rsidRDefault="00D52732">
                  <w:pPr>
                    <w:spacing w:line="120" w:lineRule="atLeast"/>
                    <w:rPr>
                      <w:rFonts w:ascii="Verdana" w:hAnsi="Verdana"/>
                      <w:b/>
                      <w:color w:val="FF0000"/>
                      <w:kern w:val="1"/>
                      <w:sz w:val="16"/>
                      <w:szCs w:val="20"/>
                    </w:rPr>
                  </w:pPr>
                  <w:r>
                    <w:rPr>
                      <w:rFonts w:ascii="Verdana" w:hAnsi="Verdana"/>
                      <w:b/>
                      <w:color w:val="FF0000"/>
                      <w:kern w:val="1"/>
                      <w:sz w:val="16"/>
                      <w:szCs w:val="20"/>
                    </w:rPr>
                    <w:t xml:space="preserve">Copyright 2018 Ars </w:t>
                  </w:r>
                  <w:proofErr w:type="spellStart"/>
                  <w:r>
                    <w:rPr>
                      <w:rFonts w:ascii="Verdana" w:hAnsi="Verdana"/>
                      <w:b/>
                      <w:color w:val="FF0000"/>
                      <w:kern w:val="1"/>
                      <w:sz w:val="16"/>
                      <w:szCs w:val="20"/>
                    </w:rPr>
                    <w:t>Semantica</w:t>
                  </w:r>
                  <w:proofErr w:type="spellEnd"/>
                </w:p>
                <w:p w:rsidR="00406EB3" w:rsidRDefault="00406EB3">
                  <w:pPr>
                    <w:spacing w:before="0" w:after="260" w:line="120" w:lineRule="atLeast"/>
                    <w:rPr>
                      <w:rFonts w:ascii="Verdana" w:hAnsi="Verdana"/>
                      <w:kern w:val="1"/>
                      <w:sz w:val="16"/>
                      <w:szCs w:val="20"/>
                    </w:rPr>
                  </w:pPr>
                  <w:r>
                    <w:rPr>
                      <w:rFonts w:ascii="Verdana" w:hAnsi="Verdana"/>
                      <w:kern w:val="1"/>
                      <w:sz w:val="16"/>
                      <w:szCs w:val="20"/>
                    </w:rPr>
                    <w:t xml:space="preserve">This document </w:t>
                  </w:r>
                  <w:r w:rsidR="00D52732">
                    <w:rPr>
                      <w:rFonts w:ascii="Verdana" w:hAnsi="Verdana"/>
                      <w:kern w:val="1"/>
                      <w:sz w:val="16"/>
                      <w:szCs w:val="20"/>
                    </w:rPr>
                    <w:t xml:space="preserve">may be shared and reused, </w:t>
                  </w:r>
                  <w:proofErr w:type="gramStart"/>
                  <w:r w:rsidR="00D52732">
                    <w:rPr>
                      <w:rFonts w:ascii="Verdana" w:hAnsi="Verdana"/>
                      <w:kern w:val="1"/>
                      <w:sz w:val="16"/>
                      <w:szCs w:val="20"/>
                    </w:rPr>
                    <w:t>as long as</w:t>
                  </w:r>
                  <w:proofErr w:type="gramEnd"/>
                  <w:r w:rsidR="00D52732">
                    <w:rPr>
                      <w:rFonts w:ascii="Verdana" w:hAnsi="Verdana"/>
                      <w:kern w:val="1"/>
                      <w:sz w:val="16"/>
                      <w:szCs w:val="20"/>
                    </w:rPr>
                    <w:t xml:space="preserve"> attribution and integrity are maintained, according to the CC-BY 3.0 </w:t>
                  </w:r>
                  <w:proofErr w:type="spellStart"/>
                  <w:r w:rsidR="00D52732">
                    <w:rPr>
                      <w:rFonts w:ascii="Verdana" w:hAnsi="Verdana"/>
                      <w:kern w:val="1"/>
                      <w:sz w:val="16"/>
                      <w:szCs w:val="20"/>
                    </w:rPr>
                    <w:t>unported</w:t>
                  </w:r>
                  <w:proofErr w:type="spellEnd"/>
                  <w:r w:rsidR="00D52732">
                    <w:rPr>
                      <w:rFonts w:ascii="Verdana" w:hAnsi="Verdana"/>
                      <w:kern w:val="1"/>
                      <w:sz w:val="16"/>
                      <w:szCs w:val="20"/>
                    </w:rPr>
                    <w:t xml:space="preserve"> licence.</w:t>
                  </w:r>
                </w:p>
              </w:txbxContent>
            </v:textbox>
          </v:shape>
        </w:pict>
      </w:r>
      <w:r>
        <w:pict>
          <v:line id="_x0000_s1027" style="position:absolute;left:0;text-align:left;z-index:251655680" from="212.65pt,460.4pt" to="212.65pt,622.4pt" strokeweight=".26mm">
            <v:stroke joinstyle="miter"/>
          </v:line>
        </w:pict>
      </w:r>
      <w:r w:rsidR="00A65CDB">
        <w:br w:type="page"/>
      </w:r>
    </w:p>
    <w:tbl>
      <w:tblPr>
        <w:tblW w:w="89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4077"/>
        <w:gridCol w:w="1701"/>
        <w:gridCol w:w="1863"/>
        <w:gridCol w:w="1300"/>
      </w:tblGrid>
      <w:tr w:rsidR="008E3E65" w:rsidRPr="00D82935">
        <w:trPr>
          <w:trHeight w:val="73"/>
        </w:trPr>
        <w:tc>
          <w:tcPr>
            <w:tcW w:w="4077" w:type="dxa"/>
            <w:shd w:val="solid" w:color="000000" w:fill="FFFFFF"/>
          </w:tcPr>
          <w:p w:rsidR="008E3E65" w:rsidRPr="00195573" w:rsidRDefault="008E3E65" w:rsidP="000B68B8">
            <w:pPr>
              <w:rPr>
                <w:b/>
                <w:bCs/>
              </w:rPr>
            </w:pPr>
            <w:r w:rsidRPr="00195573">
              <w:rPr>
                <w:b/>
                <w:bCs/>
              </w:rPr>
              <w:lastRenderedPageBreak/>
              <w:t>Revision Description</w:t>
            </w:r>
          </w:p>
        </w:tc>
        <w:tc>
          <w:tcPr>
            <w:tcW w:w="1701" w:type="dxa"/>
            <w:shd w:val="solid" w:color="000000" w:fill="FFFFFF"/>
          </w:tcPr>
          <w:p w:rsidR="008E3E65" w:rsidRPr="00195573" w:rsidRDefault="008E3E65" w:rsidP="000B68B8">
            <w:pPr>
              <w:rPr>
                <w:b/>
                <w:bCs/>
              </w:rPr>
            </w:pPr>
            <w:r w:rsidRPr="00195573">
              <w:rPr>
                <w:b/>
                <w:bCs/>
              </w:rPr>
              <w:t>Author</w:t>
            </w:r>
          </w:p>
        </w:tc>
        <w:tc>
          <w:tcPr>
            <w:tcW w:w="1863" w:type="dxa"/>
            <w:shd w:val="solid" w:color="000000" w:fill="FFFFFF"/>
          </w:tcPr>
          <w:p w:rsidR="008E3E65" w:rsidRPr="00195573" w:rsidRDefault="008E3E65" w:rsidP="000B68B8">
            <w:pPr>
              <w:rPr>
                <w:b/>
                <w:bCs/>
              </w:rPr>
            </w:pPr>
            <w:r w:rsidRPr="00195573">
              <w:rPr>
                <w:b/>
                <w:bCs/>
              </w:rPr>
              <w:t>Date</w:t>
            </w:r>
          </w:p>
        </w:tc>
        <w:tc>
          <w:tcPr>
            <w:tcW w:w="1300" w:type="dxa"/>
            <w:shd w:val="solid" w:color="000000" w:fill="FFFFFF"/>
          </w:tcPr>
          <w:p w:rsidR="008E3E65" w:rsidRPr="00195573" w:rsidRDefault="008E3E65" w:rsidP="000B68B8">
            <w:pPr>
              <w:rPr>
                <w:b/>
                <w:bCs/>
              </w:rPr>
            </w:pPr>
            <w:r w:rsidRPr="00195573">
              <w:rPr>
                <w:b/>
                <w:bCs/>
              </w:rPr>
              <w:t>Version</w:t>
            </w:r>
          </w:p>
        </w:tc>
      </w:tr>
      <w:tr w:rsidR="001375F6" w:rsidRPr="00D82935">
        <w:trPr>
          <w:trHeight w:val="73"/>
        </w:trPr>
        <w:tc>
          <w:tcPr>
            <w:tcW w:w="4077" w:type="dxa"/>
            <w:shd w:val="clear" w:color="auto" w:fill="auto"/>
          </w:tcPr>
          <w:p w:rsidR="001375F6" w:rsidRDefault="00044E00" w:rsidP="006D0F9C">
            <w:r>
              <w:t>Initial Writing</w:t>
            </w:r>
          </w:p>
        </w:tc>
        <w:tc>
          <w:tcPr>
            <w:tcW w:w="1701" w:type="dxa"/>
            <w:shd w:val="clear" w:color="auto" w:fill="auto"/>
          </w:tcPr>
          <w:p w:rsidR="001375F6" w:rsidRPr="00D03308" w:rsidRDefault="00C42AD0" w:rsidP="006D0F9C">
            <w:pPr>
              <w:rPr>
                <w:color w:val="0070C0"/>
              </w:rPr>
            </w:pPr>
            <w:r>
              <w:rPr>
                <w:color w:val="0070C0"/>
              </w:rPr>
              <w:t>Thomas Beale</w:t>
            </w:r>
          </w:p>
        </w:tc>
        <w:tc>
          <w:tcPr>
            <w:tcW w:w="1863" w:type="dxa"/>
            <w:shd w:val="clear" w:color="auto" w:fill="auto"/>
          </w:tcPr>
          <w:p w:rsidR="001375F6" w:rsidRDefault="00D52732" w:rsidP="00C944C0">
            <w:r>
              <w:t>01</w:t>
            </w:r>
            <w:r w:rsidR="001375F6">
              <w:t xml:space="preserve"> </w:t>
            </w:r>
            <w:r>
              <w:t>Apr</w:t>
            </w:r>
            <w:r w:rsidR="00AE5A45">
              <w:t xml:space="preserve"> </w:t>
            </w:r>
            <w:r w:rsidR="001375F6">
              <w:t>20</w:t>
            </w:r>
            <w:r w:rsidR="00AE5A45">
              <w:t>1</w:t>
            </w:r>
            <w:r>
              <w:t>7</w:t>
            </w:r>
          </w:p>
        </w:tc>
        <w:tc>
          <w:tcPr>
            <w:tcW w:w="1300" w:type="dxa"/>
            <w:shd w:val="clear" w:color="auto" w:fill="auto"/>
          </w:tcPr>
          <w:p w:rsidR="001375F6" w:rsidRDefault="00050C9A" w:rsidP="00870ADB">
            <w:r>
              <w:t>0.9</w:t>
            </w:r>
          </w:p>
        </w:tc>
      </w:tr>
    </w:tbl>
    <w:p w:rsidR="008E3E65" w:rsidRPr="00D82935" w:rsidRDefault="008E3E65" w:rsidP="001E36F2"/>
    <w:p w:rsidR="008E3E65" w:rsidRPr="00692B1B" w:rsidRDefault="008E3E65" w:rsidP="008E3E65">
      <w:pPr>
        <w:rPr>
          <w:b/>
          <w:bCs/>
        </w:rPr>
      </w:pPr>
      <w:r w:rsidRPr="00692B1B">
        <w:rPr>
          <w:b/>
          <w:bCs/>
        </w:rPr>
        <w:t xml:space="preserve">Disclaimer </w:t>
      </w:r>
    </w:p>
    <w:p w:rsidR="008E3E65" w:rsidRPr="00D82935" w:rsidRDefault="00B514E3" w:rsidP="008E3E65">
      <w:r>
        <w:t xml:space="preserve">Ars </w:t>
      </w:r>
      <w:proofErr w:type="spellStart"/>
      <w:r>
        <w:t>Semantica</w:t>
      </w:r>
      <w:proofErr w:type="spellEnd"/>
      <w:r w:rsidRPr="007E1448">
        <w:t xml:space="preserve"> </w:t>
      </w:r>
      <w:r w:rsidR="008E3E65" w:rsidRPr="00D82935">
        <w:t>makes the information and other material (“Information”) in this document available in good faith</w:t>
      </w:r>
      <w:r w:rsidR="008E3E65">
        <w:t xml:space="preserve">.  </w:t>
      </w:r>
      <w:r>
        <w:t xml:space="preserve">Ars </w:t>
      </w:r>
      <w:proofErr w:type="spellStart"/>
      <w:r>
        <w:t>Semantica</w:t>
      </w:r>
      <w:proofErr w:type="spellEnd"/>
      <w:r w:rsidRPr="007E1448">
        <w:t xml:space="preserve"> </w:t>
      </w:r>
      <w:r w:rsidR="008E3E65" w:rsidRPr="00D82935">
        <w:t>cannot accept any responsibility for the consequences of any use of the Information</w:t>
      </w:r>
      <w:r w:rsidR="008E3E65">
        <w:t xml:space="preserve">.  </w:t>
      </w:r>
      <w:r w:rsidR="008E3E65" w:rsidRPr="00D82935">
        <w:t>As the Information is of a general nature only, it is up to any person using or relying on the Information to ensure that it is accurate, complete and suitable for the circumstances of its use</w:t>
      </w:r>
      <w:r w:rsidR="008E3E65">
        <w:t xml:space="preserve">.  </w:t>
      </w:r>
    </w:p>
    <w:p w:rsidR="008E3E65" w:rsidRPr="00411CA5" w:rsidRDefault="008E3E65" w:rsidP="008E3E65">
      <w:pPr>
        <w:rPr>
          <w:b/>
          <w:bCs/>
        </w:rPr>
      </w:pPr>
      <w:r w:rsidRPr="00411CA5">
        <w:rPr>
          <w:b/>
          <w:bCs/>
        </w:rPr>
        <w:t xml:space="preserve">Trademarks </w:t>
      </w:r>
    </w:p>
    <w:p w:rsidR="008E3E65" w:rsidRPr="00D82935" w:rsidRDefault="008E3E65" w:rsidP="008E3E65">
      <w:r w:rsidRPr="00D82935">
        <w:t>Company, product, and service names mentioned herein may be trademarks or service marks; such marks are the property of their respective owners</w:t>
      </w:r>
      <w:r>
        <w:t xml:space="preserve">.  </w:t>
      </w:r>
    </w:p>
    <w:p w:rsidR="008E3E65" w:rsidRDefault="008E3E65" w:rsidP="008E3E65">
      <w:pPr>
        <w:pStyle w:val="Heading"/>
      </w:pPr>
    </w:p>
    <w:p w:rsidR="0032334E" w:rsidRDefault="00907652" w:rsidP="00406EB3">
      <w:pPr>
        <w:pStyle w:val="Heading1"/>
      </w:pPr>
      <w:bookmarkStart w:id="0" w:name="_Toc482103288"/>
      <w:r>
        <w:lastRenderedPageBreak/>
        <w:t>Consent</w:t>
      </w:r>
      <w:bookmarkEnd w:id="0"/>
      <w:r w:rsidR="00BE3E79">
        <w:t xml:space="preserve"> Concepts</w:t>
      </w:r>
    </w:p>
    <w:p w:rsidR="0096741F" w:rsidRDefault="0096741F" w:rsidP="0096741F">
      <w:pPr>
        <w:pStyle w:val="Heading2"/>
      </w:pPr>
      <w:bookmarkStart w:id="1" w:name="_Toc482103289"/>
      <w:r>
        <w:t>Conceptual Definition</w:t>
      </w:r>
      <w:bookmarkEnd w:id="1"/>
    </w:p>
    <w:p w:rsidR="0096741F" w:rsidRDefault="0096741F" w:rsidP="0096741F">
      <w:pPr>
        <w:rPr>
          <w:lang w:eastAsia="en-AU"/>
        </w:rPr>
      </w:pPr>
      <w:r>
        <w:rPr>
          <w:lang w:eastAsia="en-AU"/>
        </w:rPr>
        <w:t>The notion of ‘consent’ while commonly used in health IT is often not well defined. There are various definitions of the term ‘consent’:</w:t>
      </w:r>
    </w:p>
    <w:p w:rsidR="0096741F" w:rsidRDefault="0096741F" w:rsidP="0055459C">
      <w:pPr>
        <w:pStyle w:val="ListParagraph"/>
        <w:numPr>
          <w:ilvl w:val="0"/>
          <w:numId w:val="20"/>
        </w:numPr>
        <w:rPr>
          <w:lang w:eastAsia="en-AU"/>
        </w:rPr>
      </w:pPr>
      <w:r w:rsidRPr="00532270">
        <w:rPr>
          <w:b/>
          <w:lang w:eastAsia="en-AU"/>
        </w:rPr>
        <w:t>Medical consent</w:t>
      </w:r>
      <w:r>
        <w:rPr>
          <w:lang w:eastAsia="en-AU"/>
        </w:rPr>
        <w:t>: consent by the patient, guardian or other legal person for a (typically major) medical procedure or other intervention, e.g. involuntary psychiatric admission, end of life support, organ donation etc;</w:t>
      </w:r>
    </w:p>
    <w:p w:rsidR="002A4FCC" w:rsidRPr="002A4FCC" w:rsidRDefault="002A4FCC" w:rsidP="0055459C">
      <w:pPr>
        <w:pStyle w:val="ListParagraph"/>
        <w:numPr>
          <w:ilvl w:val="1"/>
          <w:numId w:val="20"/>
        </w:numPr>
        <w:rPr>
          <w:lang w:eastAsia="en-AU"/>
        </w:rPr>
      </w:pPr>
      <w:r w:rsidRPr="002A4FCC">
        <w:rPr>
          <w:lang w:eastAsia="en-AU"/>
        </w:rPr>
        <w:t xml:space="preserve">Patient preferences such as refusal to accept blood transfusion, organ transplantation may be considered as </w:t>
      </w:r>
      <w:proofErr w:type="gramStart"/>
      <w:r w:rsidRPr="002A4FCC">
        <w:rPr>
          <w:lang w:eastAsia="en-AU"/>
        </w:rPr>
        <w:t>similar to</w:t>
      </w:r>
      <w:proofErr w:type="gramEnd"/>
      <w:r w:rsidRPr="002A4FCC">
        <w:rPr>
          <w:lang w:eastAsia="en-AU"/>
        </w:rPr>
        <w:t xml:space="preserve"> medical consents;</w:t>
      </w:r>
    </w:p>
    <w:p w:rsidR="0096741F" w:rsidRDefault="0096741F" w:rsidP="0055459C">
      <w:pPr>
        <w:pStyle w:val="ListParagraph"/>
        <w:numPr>
          <w:ilvl w:val="0"/>
          <w:numId w:val="20"/>
        </w:numPr>
        <w:rPr>
          <w:lang w:eastAsia="en-AU"/>
        </w:rPr>
      </w:pPr>
      <w:r w:rsidRPr="00532270">
        <w:rPr>
          <w:b/>
          <w:lang w:eastAsia="en-AU"/>
        </w:rPr>
        <w:t>Point of care information sharing / use consent</w:t>
      </w:r>
      <w:r w:rsidR="00532270">
        <w:rPr>
          <w:lang w:eastAsia="en-AU"/>
        </w:rPr>
        <w:t xml:space="preserve">: </w:t>
      </w:r>
      <w:r>
        <w:rPr>
          <w:lang w:eastAsia="en-AU"/>
        </w:rPr>
        <w:t>consent by the patient or legal representative, or in emergencies, health care personnel, for access to the patient heath record or related data (lab test results etc) – linked to the patient, aka ‘identified’ data;</w:t>
      </w:r>
    </w:p>
    <w:p w:rsidR="0096741F" w:rsidRDefault="0096741F" w:rsidP="0055459C">
      <w:pPr>
        <w:pStyle w:val="ListParagraph"/>
        <w:numPr>
          <w:ilvl w:val="0"/>
          <w:numId w:val="20"/>
        </w:numPr>
        <w:rPr>
          <w:lang w:eastAsia="en-AU"/>
        </w:rPr>
      </w:pPr>
      <w:r w:rsidRPr="00532270">
        <w:rPr>
          <w:b/>
          <w:lang w:eastAsia="en-AU"/>
        </w:rPr>
        <w:t>Secondary use information sharing</w:t>
      </w:r>
      <w:r>
        <w:rPr>
          <w:lang w:eastAsia="en-AU"/>
        </w:rPr>
        <w:t>: consent for use of pseudonymised or otherwise de-identified health data, normally for public health, statistical or research uses.</w:t>
      </w:r>
    </w:p>
    <w:p w:rsidR="0096741F" w:rsidRDefault="0096741F" w:rsidP="0096741F">
      <w:pPr>
        <w:rPr>
          <w:lang w:eastAsia="en-AU"/>
        </w:rPr>
      </w:pPr>
      <w:r>
        <w:rPr>
          <w:lang w:eastAsia="en-AU"/>
        </w:rPr>
        <w:t xml:space="preserve">Medical consent and information consent are two different concepts, and for the purposes of the </w:t>
      </w:r>
      <w:r w:rsidR="00D52732">
        <w:rPr>
          <w:lang w:eastAsia="en-AU"/>
        </w:rPr>
        <w:t>shared EHR</w:t>
      </w:r>
      <w:r>
        <w:rPr>
          <w:lang w:eastAsia="en-AU"/>
        </w:rPr>
        <w:t>, we are interested in the latter.</w:t>
      </w:r>
    </w:p>
    <w:p w:rsidR="0096741F" w:rsidRDefault="0096741F" w:rsidP="0096741F">
      <w:pPr>
        <w:rPr>
          <w:lang w:eastAsia="en-AU"/>
        </w:rPr>
      </w:pPr>
      <w:r>
        <w:rPr>
          <w:lang w:eastAsia="en-AU"/>
        </w:rPr>
        <w:t>In t</w:t>
      </w:r>
      <w:r w:rsidR="00532270">
        <w:rPr>
          <w:lang w:eastAsia="en-AU"/>
        </w:rPr>
        <w:t xml:space="preserve">erms of a shared </w:t>
      </w:r>
      <w:r w:rsidR="00D52732">
        <w:rPr>
          <w:lang w:eastAsia="en-AU"/>
        </w:rPr>
        <w:t>EHR</w:t>
      </w:r>
      <w:r w:rsidR="00532270">
        <w:rPr>
          <w:lang w:eastAsia="en-AU"/>
        </w:rPr>
        <w:t>, we assume</w:t>
      </w:r>
      <w:r>
        <w:rPr>
          <w:lang w:eastAsia="en-AU"/>
        </w:rPr>
        <w:t xml:space="preserve"> that:</w:t>
      </w:r>
    </w:p>
    <w:p w:rsidR="0096741F" w:rsidRDefault="0096741F" w:rsidP="0055459C">
      <w:pPr>
        <w:pStyle w:val="ListParagraph"/>
        <w:numPr>
          <w:ilvl w:val="0"/>
          <w:numId w:val="21"/>
        </w:numPr>
        <w:rPr>
          <w:lang w:eastAsia="en-AU"/>
        </w:rPr>
      </w:pPr>
      <w:r>
        <w:rPr>
          <w:lang w:eastAsia="en-AU"/>
        </w:rPr>
        <w:t>The primary information is identified or linkable to</w:t>
      </w:r>
      <w:r w:rsidR="00F16A99">
        <w:rPr>
          <w:lang w:eastAsia="en-AU"/>
        </w:rPr>
        <w:t xml:space="preserve"> the</w:t>
      </w:r>
      <w:r>
        <w:rPr>
          <w:lang w:eastAsia="en-AU"/>
        </w:rPr>
        <w:t xml:space="preserve"> patient, for purposes of care delivery;</w:t>
      </w:r>
    </w:p>
    <w:p w:rsidR="00532270" w:rsidRDefault="00532270" w:rsidP="0055459C">
      <w:pPr>
        <w:pStyle w:val="ListParagraph"/>
        <w:numPr>
          <w:ilvl w:val="0"/>
          <w:numId w:val="21"/>
        </w:numPr>
        <w:rPr>
          <w:lang w:eastAsia="en-AU"/>
        </w:rPr>
      </w:pPr>
      <w:r>
        <w:rPr>
          <w:lang w:eastAsia="en-AU"/>
        </w:rPr>
        <w:t xml:space="preserve">That </w:t>
      </w:r>
      <w:r w:rsidR="00F16A99">
        <w:rPr>
          <w:lang w:eastAsia="en-AU"/>
        </w:rPr>
        <w:t>pseudonymised and/or completely de-identified forms of the information are or would be derivable from the primary information for secondary use.</w:t>
      </w:r>
    </w:p>
    <w:p w:rsidR="00916A60" w:rsidRDefault="00F16A99" w:rsidP="00F16A99">
      <w:pPr>
        <w:rPr>
          <w:lang w:eastAsia="en-AU"/>
        </w:rPr>
      </w:pPr>
      <w:r>
        <w:rPr>
          <w:lang w:eastAsia="en-AU"/>
        </w:rPr>
        <w:t xml:space="preserve">Therefore, consent for access and/or sharing of both identified and de-identified forms of the information are relevant to the </w:t>
      </w:r>
      <w:r w:rsidR="00D52732">
        <w:rPr>
          <w:lang w:eastAsia="en-AU"/>
        </w:rPr>
        <w:t>shared EHR</w:t>
      </w:r>
      <w:r>
        <w:rPr>
          <w:lang w:eastAsia="en-AU"/>
        </w:rPr>
        <w:t>.</w:t>
      </w:r>
    </w:p>
    <w:p w:rsidR="0033115A" w:rsidRPr="0096741F" w:rsidRDefault="0033115A" w:rsidP="00F16A99">
      <w:pPr>
        <w:rPr>
          <w:lang w:eastAsia="en-AU"/>
        </w:rPr>
      </w:pPr>
      <w:r>
        <w:rPr>
          <w:lang w:eastAsia="en-AU"/>
        </w:rPr>
        <w:t>It is assumed that the two kinds of consent are sufficientl</w:t>
      </w:r>
      <w:r w:rsidR="00FF3A16">
        <w:rPr>
          <w:lang w:eastAsia="en-AU"/>
        </w:rPr>
        <w:t>y</w:t>
      </w:r>
      <w:r>
        <w:rPr>
          <w:lang w:eastAsia="en-AU"/>
        </w:rPr>
        <w:t xml:space="preserve"> different</w:t>
      </w:r>
      <w:r w:rsidR="00FF3A16">
        <w:rPr>
          <w:lang w:eastAsia="en-AU"/>
        </w:rPr>
        <w:t xml:space="preserve"> that different </w:t>
      </w:r>
      <w:r w:rsidR="002A4FCC">
        <w:rPr>
          <w:lang w:eastAsia="en-AU"/>
        </w:rPr>
        <w:t xml:space="preserve">models and </w:t>
      </w:r>
      <w:r w:rsidR="00FF3A16">
        <w:rPr>
          <w:lang w:eastAsia="en-AU"/>
        </w:rPr>
        <w:t>technical means or at least distinct rules, documents or procedures may be required to implement them.</w:t>
      </w:r>
    </w:p>
    <w:p w:rsidR="0096741F" w:rsidRDefault="0096741F" w:rsidP="0096741F">
      <w:pPr>
        <w:pStyle w:val="Heading2"/>
      </w:pPr>
      <w:bookmarkStart w:id="2" w:name="_Toc482103290"/>
      <w:r>
        <w:t>General Paradigm</w:t>
      </w:r>
      <w:bookmarkEnd w:id="2"/>
    </w:p>
    <w:p w:rsidR="00E54A18" w:rsidRDefault="00E54A18" w:rsidP="00E54A18">
      <w:pPr>
        <w:rPr>
          <w:lang w:eastAsia="en-AU"/>
        </w:rPr>
      </w:pPr>
      <w:r>
        <w:rPr>
          <w:lang w:eastAsia="en-AU"/>
        </w:rPr>
        <w:t>The underlying nee</w:t>
      </w:r>
      <w:r w:rsidR="00916A60">
        <w:rPr>
          <w:lang w:eastAsia="en-AU"/>
        </w:rPr>
        <w:t xml:space="preserve">d being served by a </w:t>
      </w:r>
      <w:r>
        <w:rPr>
          <w:lang w:eastAsia="en-AU"/>
        </w:rPr>
        <w:t>patient consent</w:t>
      </w:r>
      <w:r w:rsidR="00916A60">
        <w:rPr>
          <w:lang w:eastAsia="en-AU"/>
        </w:rPr>
        <w:t xml:space="preserve"> function in an EHR</w:t>
      </w:r>
      <w:r>
        <w:rPr>
          <w:lang w:eastAsia="en-AU"/>
        </w:rPr>
        <w:t xml:space="preserve"> is </w:t>
      </w:r>
      <w:r w:rsidR="00916A60">
        <w:rPr>
          <w:lang w:eastAsia="en-AU"/>
        </w:rPr>
        <w:t>to maintain patient privacy outside of use of data by health professionals in a care delivery situation. Consent is thus an information access and sharing control concept, i.e. it is to do with authorised access and uses of patient data. For the concept to have any meaning, there must be means of:</w:t>
      </w:r>
    </w:p>
    <w:p w:rsidR="00916A60" w:rsidRDefault="00916A60" w:rsidP="0055459C">
      <w:pPr>
        <w:pStyle w:val="ListParagraph"/>
        <w:numPr>
          <w:ilvl w:val="0"/>
          <w:numId w:val="24"/>
        </w:numPr>
        <w:rPr>
          <w:lang w:eastAsia="en-AU"/>
        </w:rPr>
      </w:pPr>
      <w:r>
        <w:rPr>
          <w:lang w:eastAsia="en-AU"/>
        </w:rPr>
        <w:t xml:space="preserve">Determining whether a </w:t>
      </w:r>
      <w:proofErr w:type="gramStart"/>
      <w:r>
        <w:rPr>
          <w:lang w:eastAsia="en-AU"/>
        </w:rPr>
        <w:t>particular request</w:t>
      </w:r>
      <w:proofErr w:type="gramEnd"/>
      <w:r>
        <w:rPr>
          <w:lang w:eastAsia="en-AU"/>
        </w:rPr>
        <w:t xml:space="preserve"> to access is legitimate;</w:t>
      </w:r>
    </w:p>
    <w:p w:rsidR="00916A60" w:rsidRDefault="00916A60" w:rsidP="0055459C">
      <w:pPr>
        <w:pStyle w:val="ListParagraph"/>
        <w:numPr>
          <w:ilvl w:val="0"/>
          <w:numId w:val="24"/>
        </w:numPr>
        <w:rPr>
          <w:lang w:eastAsia="en-AU"/>
        </w:rPr>
      </w:pPr>
      <w:r>
        <w:rPr>
          <w:lang w:eastAsia="en-AU"/>
        </w:rPr>
        <w:t>Allowing legitimate access;</w:t>
      </w:r>
    </w:p>
    <w:p w:rsidR="00916A60" w:rsidRDefault="00916A60" w:rsidP="0055459C">
      <w:pPr>
        <w:pStyle w:val="ListParagraph"/>
        <w:numPr>
          <w:ilvl w:val="0"/>
          <w:numId w:val="24"/>
        </w:numPr>
        <w:rPr>
          <w:lang w:eastAsia="en-AU"/>
        </w:rPr>
      </w:pPr>
      <w:r>
        <w:rPr>
          <w:lang w:eastAsia="en-AU"/>
        </w:rPr>
        <w:t>Blocking unauthorised access.</w:t>
      </w:r>
    </w:p>
    <w:p w:rsidR="00916A60" w:rsidRDefault="00916A60" w:rsidP="00916A60">
      <w:pPr>
        <w:rPr>
          <w:lang w:eastAsia="en-AU"/>
        </w:rPr>
      </w:pPr>
      <w:r>
        <w:rPr>
          <w:lang w:eastAsia="en-AU"/>
        </w:rPr>
        <w:t xml:space="preserve">In </w:t>
      </w:r>
      <w:proofErr w:type="gramStart"/>
      <w:r>
        <w:rPr>
          <w:lang w:eastAsia="en-AU"/>
        </w:rPr>
        <w:t>general</w:t>
      </w:r>
      <w:proofErr w:type="gramEnd"/>
      <w:r>
        <w:rPr>
          <w:lang w:eastAsia="en-AU"/>
        </w:rPr>
        <w:t xml:space="preserve"> it must be assumed that any system of controlled access can be broken, therefore it must be further assumed that unauthorised access should be detectable.</w:t>
      </w:r>
    </w:p>
    <w:p w:rsidR="00BC0437" w:rsidRPr="00E54A18" w:rsidRDefault="00BC0437" w:rsidP="00BC0437">
      <w:pPr>
        <w:pStyle w:val="Heading1"/>
        <w:rPr>
          <w:lang w:eastAsia="en-AU"/>
        </w:rPr>
      </w:pPr>
      <w:r>
        <w:rPr>
          <w:lang w:eastAsia="en-AU"/>
        </w:rPr>
        <w:lastRenderedPageBreak/>
        <w:t>Requirements</w:t>
      </w:r>
    </w:p>
    <w:p w:rsidR="005A647F" w:rsidRPr="005A647F" w:rsidRDefault="005A647F" w:rsidP="00BC0437">
      <w:pPr>
        <w:pStyle w:val="Heading2"/>
      </w:pPr>
      <w:bookmarkStart w:id="3" w:name="_Toc482103291"/>
      <w:r>
        <w:t>Who can access the data?</w:t>
      </w:r>
      <w:bookmarkEnd w:id="3"/>
    </w:p>
    <w:p w:rsidR="0096741F" w:rsidRDefault="0096741F" w:rsidP="0096741F">
      <w:pPr>
        <w:rPr>
          <w:lang w:eastAsia="en-AU"/>
        </w:rPr>
      </w:pPr>
      <w:r>
        <w:rPr>
          <w:lang w:eastAsia="en-AU"/>
        </w:rPr>
        <w:t>The general notion of consent for access to health data</w:t>
      </w:r>
      <w:r w:rsidR="00F16A99">
        <w:rPr>
          <w:lang w:eastAsia="en-AU"/>
        </w:rPr>
        <w:t xml:space="preserve"> for care provision can be understood </w:t>
      </w:r>
      <w:r w:rsidR="00D52732">
        <w:rPr>
          <w:lang w:eastAsia="en-AU"/>
        </w:rPr>
        <w:t xml:space="preserve">via a term used in the UK, </w:t>
      </w:r>
      <w:r w:rsidR="00F16A99">
        <w:rPr>
          <w:lang w:eastAsia="en-AU"/>
        </w:rPr>
        <w:t>‘legitimate relationship’. This concept recognises that only HCPs having an established care relationship with the patient can access the information. These HCPs include:</w:t>
      </w:r>
    </w:p>
    <w:p w:rsidR="00F16A99" w:rsidRDefault="00F16A99" w:rsidP="0055459C">
      <w:pPr>
        <w:pStyle w:val="ListParagraph"/>
        <w:numPr>
          <w:ilvl w:val="0"/>
          <w:numId w:val="22"/>
        </w:numPr>
        <w:rPr>
          <w:lang w:eastAsia="en-AU"/>
        </w:rPr>
      </w:pPr>
      <w:r>
        <w:rPr>
          <w:lang w:eastAsia="en-AU"/>
        </w:rPr>
        <w:t>HCPs in long-term relationships, e.g. general practitioners, outpatient services;</w:t>
      </w:r>
    </w:p>
    <w:p w:rsidR="00F16A99" w:rsidRDefault="00F16A99" w:rsidP="0055459C">
      <w:pPr>
        <w:pStyle w:val="ListParagraph"/>
        <w:numPr>
          <w:ilvl w:val="0"/>
          <w:numId w:val="22"/>
        </w:numPr>
        <w:rPr>
          <w:lang w:eastAsia="en-AU"/>
        </w:rPr>
      </w:pPr>
      <w:r>
        <w:rPr>
          <w:lang w:eastAsia="en-AU"/>
        </w:rPr>
        <w:t>HCPs in acute care setting including named consultants, specialists, and changing ward staff;</w:t>
      </w:r>
    </w:p>
    <w:p w:rsidR="00F16A99" w:rsidRDefault="00F16A99" w:rsidP="0055459C">
      <w:pPr>
        <w:pStyle w:val="ListParagraph"/>
        <w:numPr>
          <w:ilvl w:val="0"/>
          <w:numId w:val="22"/>
        </w:numPr>
        <w:rPr>
          <w:lang w:eastAsia="en-AU"/>
        </w:rPr>
      </w:pPr>
      <w:r>
        <w:rPr>
          <w:lang w:eastAsia="en-AU"/>
        </w:rPr>
        <w:t>Specialists;</w:t>
      </w:r>
    </w:p>
    <w:p w:rsidR="00F16A99" w:rsidRDefault="00F16A99" w:rsidP="0055459C">
      <w:pPr>
        <w:pStyle w:val="ListParagraph"/>
        <w:numPr>
          <w:ilvl w:val="0"/>
          <w:numId w:val="22"/>
        </w:numPr>
        <w:rPr>
          <w:lang w:eastAsia="en-AU"/>
        </w:rPr>
      </w:pPr>
      <w:r>
        <w:rPr>
          <w:lang w:eastAsia="en-AU"/>
        </w:rPr>
        <w:t>HCPs in the emergency services, i.e. ambulance, other rescue services.</w:t>
      </w:r>
    </w:p>
    <w:p w:rsidR="00F16A99" w:rsidRDefault="00F16A99" w:rsidP="00F16A99">
      <w:pPr>
        <w:rPr>
          <w:lang w:eastAsia="en-AU"/>
        </w:rPr>
      </w:pPr>
      <w:r>
        <w:rPr>
          <w:lang w:eastAsia="en-AU"/>
        </w:rPr>
        <w:t>In the case of emergency services, the relationship may be established by the relevant personnel obtaining access under a ‘break glass’ condition in which their access is logged in detail, and justified by immediate need.</w:t>
      </w:r>
    </w:p>
    <w:p w:rsidR="00F16A99" w:rsidRDefault="0092555B" w:rsidP="0096741F">
      <w:pPr>
        <w:rPr>
          <w:lang w:eastAsia="en-AU"/>
        </w:rPr>
      </w:pPr>
      <w:r>
        <w:rPr>
          <w:lang w:eastAsia="en-AU"/>
        </w:rPr>
        <w:t>There is usually</w:t>
      </w:r>
      <w:r w:rsidR="00F16A99">
        <w:rPr>
          <w:lang w:eastAsia="en-AU"/>
        </w:rPr>
        <w:t xml:space="preserve"> a need for other persons who are not HCPs to have access to the patient data, </w:t>
      </w:r>
      <w:r w:rsidR="00927F7C">
        <w:rPr>
          <w:lang w:eastAsia="en-AU"/>
        </w:rPr>
        <w:t xml:space="preserve">such as administrative staff, legal representatives etc, </w:t>
      </w:r>
      <w:r w:rsidR="00F16A99">
        <w:rPr>
          <w:lang w:eastAsia="en-AU"/>
        </w:rPr>
        <w:t xml:space="preserve">but it can </w:t>
      </w:r>
      <w:r w:rsidR="00927F7C">
        <w:rPr>
          <w:lang w:eastAsia="en-AU"/>
        </w:rPr>
        <w:t>usually</w:t>
      </w:r>
      <w:r w:rsidR="00F16A99">
        <w:rPr>
          <w:lang w:eastAsia="en-AU"/>
        </w:rPr>
        <w:t xml:space="preserve"> be assumed that access to data in a </w:t>
      </w:r>
      <w:r w:rsidR="00D52732">
        <w:rPr>
          <w:lang w:eastAsia="en-AU"/>
        </w:rPr>
        <w:t>shared EHR</w:t>
      </w:r>
      <w:r w:rsidR="00F16A99">
        <w:rPr>
          <w:lang w:eastAsia="en-AU"/>
        </w:rPr>
        <w:t xml:space="preserve"> is </w:t>
      </w:r>
      <w:r w:rsidR="00927F7C">
        <w:rPr>
          <w:lang w:eastAsia="en-AU"/>
        </w:rPr>
        <w:t xml:space="preserve">related to a patient encounter at which a physician will be present. </w:t>
      </w:r>
    </w:p>
    <w:p w:rsidR="00927F7C" w:rsidRDefault="00927F7C" w:rsidP="0096741F">
      <w:pPr>
        <w:rPr>
          <w:lang w:eastAsia="en-AU"/>
        </w:rPr>
      </w:pPr>
      <w:r>
        <w:rPr>
          <w:lang w:eastAsia="en-AU"/>
        </w:rPr>
        <w:t xml:space="preserve">Another useful term, equivalent to the ‘legitimate relationship’ concept is ‘attending physician’, which means any physician (including midwife) who is providing care, no matter what their </w:t>
      </w:r>
      <w:proofErr w:type="gramStart"/>
      <w:r>
        <w:rPr>
          <w:lang w:eastAsia="en-AU"/>
        </w:rPr>
        <w:t>particular employment</w:t>
      </w:r>
      <w:proofErr w:type="gramEnd"/>
      <w:r>
        <w:rPr>
          <w:lang w:eastAsia="en-AU"/>
        </w:rPr>
        <w:t xml:space="preserve"> role is.</w:t>
      </w:r>
    </w:p>
    <w:p w:rsidR="005A647F" w:rsidRDefault="005A647F" w:rsidP="0096741F">
      <w:pPr>
        <w:rPr>
          <w:lang w:eastAsia="en-AU"/>
        </w:rPr>
      </w:pPr>
      <w:r>
        <w:rPr>
          <w:lang w:eastAsia="en-AU"/>
        </w:rPr>
        <w:t>For secondary use, the users of the data are typically defined in terms of organisations, e.g. a university, a hospital, a government or a company.</w:t>
      </w:r>
    </w:p>
    <w:p w:rsidR="005A647F" w:rsidRDefault="005A647F" w:rsidP="00BC0437">
      <w:pPr>
        <w:pStyle w:val="Heading2"/>
      </w:pPr>
      <w:bookmarkStart w:id="4" w:name="_Toc482103292"/>
      <w:r>
        <w:t>What are the data used for?</w:t>
      </w:r>
      <w:bookmarkEnd w:id="4"/>
    </w:p>
    <w:p w:rsidR="005A647F" w:rsidRPr="005A647F" w:rsidRDefault="005A647F" w:rsidP="005A647F">
      <w:pPr>
        <w:rPr>
          <w:lang w:eastAsia="en-AU"/>
        </w:rPr>
      </w:pPr>
      <w:r>
        <w:rPr>
          <w:lang w:eastAsia="en-AU"/>
        </w:rPr>
        <w:t>For healthcare delivery the data use is clear – it is for enabling clinical professionals to perform their normal functions.</w:t>
      </w:r>
    </w:p>
    <w:p w:rsidR="005A647F" w:rsidRDefault="00F16A99" w:rsidP="0096741F">
      <w:pPr>
        <w:rPr>
          <w:lang w:eastAsia="en-AU"/>
        </w:rPr>
      </w:pPr>
      <w:r>
        <w:rPr>
          <w:lang w:eastAsia="en-AU"/>
        </w:rPr>
        <w:t xml:space="preserve">In the case of secondary use, </w:t>
      </w:r>
      <w:r w:rsidR="003022C6">
        <w:rPr>
          <w:lang w:eastAsia="en-AU"/>
        </w:rPr>
        <w:t>consent is normally for the use of the data for specific purposes, and it is normally assumed that t</w:t>
      </w:r>
      <w:r w:rsidR="005A647F">
        <w:rPr>
          <w:lang w:eastAsia="en-AU"/>
        </w:rPr>
        <w:t xml:space="preserve">he patient can assign rights </w:t>
      </w:r>
      <w:proofErr w:type="gramStart"/>
      <w:r w:rsidR="003022C6">
        <w:rPr>
          <w:lang w:eastAsia="en-AU"/>
        </w:rPr>
        <w:t>on the basis of</w:t>
      </w:r>
      <w:proofErr w:type="gramEnd"/>
      <w:r w:rsidR="003022C6">
        <w:rPr>
          <w:lang w:eastAsia="en-AU"/>
        </w:rPr>
        <w:t xml:space="preserve"> the intended recipient</w:t>
      </w:r>
      <w:r w:rsidR="005A647F">
        <w:rPr>
          <w:lang w:eastAsia="en-AU"/>
        </w:rPr>
        <w:t xml:space="preserve"> and use</w:t>
      </w:r>
      <w:r w:rsidR="003022C6">
        <w:rPr>
          <w:lang w:eastAsia="en-AU"/>
        </w:rPr>
        <w:t>. Uses include</w:t>
      </w:r>
      <w:r w:rsidR="005A647F">
        <w:rPr>
          <w:lang w:eastAsia="en-AU"/>
        </w:rPr>
        <w:t>:</w:t>
      </w:r>
    </w:p>
    <w:p w:rsidR="005A647F" w:rsidRDefault="003022C6" w:rsidP="0055459C">
      <w:pPr>
        <w:pStyle w:val="ListParagraph"/>
        <w:numPr>
          <w:ilvl w:val="0"/>
          <w:numId w:val="23"/>
        </w:numPr>
        <w:rPr>
          <w:lang w:eastAsia="en-AU"/>
        </w:rPr>
      </w:pPr>
      <w:r>
        <w:rPr>
          <w:lang w:eastAsia="en-AU"/>
        </w:rPr>
        <w:t xml:space="preserve">public health (e.g. for diagnoses of major conditions to be counted), </w:t>
      </w:r>
    </w:p>
    <w:p w:rsidR="0096741F" w:rsidRDefault="003022C6" w:rsidP="0055459C">
      <w:pPr>
        <w:pStyle w:val="ListParagraph"/>
        <w:numPr>
          <w:ilvl w:val="0"/>
          <w:numId w:val="23"/>
        </w:numPr>
        <w:rPr>
          <w:lang w:eastAsia="en-AU"/>
        </w:rPr>
      </w:pPr>
      <w:r>
        <w:rPr>
          <w:lang w:eastAsia="en-AU"/>
        </w:rPr>
        <w:t>medical research (</w:t>
      </w:r>
      <w:r w:rsidR="005A647F">
        <w:rPr>
          <w:lang w:eastAsia="en-AU"/>
        </w:rPr>
        <w:t>use of cancer treatment data for a university hospital study);</w:t>
      </w:r>
    </w:p>
    <w:p w:rsidR="005A647F" w:rsidRDefault="005A647F" w:rsidP="0055459C">
      <w:pPr>
        <w:pStyle w:val="ListParagraph"/>
        <w:numPr>
          <w:ilvl w:val="0"/>
          <w:numId w:val="23"/>
        </w:numPr>
        <w:rPr>
          <w:lang w:eastAsia="en-AU"/>
        </w:rPr>
      </w:pPr>
      <w:r>
        <w:rPr>
          <w:lang w:eastAsia="en-AU"/>
        </w:rPr>
        <w:t>use of health data by pharmaceutical companies for development of drugs.</w:t>
      </w:r>
    </w:p>
    <w:p w:rsidR="005A647F" w:rsidRDefault="005A647F" w:rsidP="005A647F">
      <w:pPr>
        <w:rPr>
          <w:lang w:eastAsia="en-AU"/>
        </w:rPr>
      </w:pPr>
      <w:r>
        <w:rPr>
          <w:lang w:eastAsia="en-AU"/>
        </w:rPr>
        <w:t>Clearly the beneficiaries, both in terms of health and financial, may differ widely, and so consumers may expect to allow selective access.</w:t>
      </w:r>
    </w:p>
    <w:p w:rsidR="00E54A18" w:rsidRDefault="00E54A18" w:rsidP="00BC0437">
      <w:pPr>
        <w:pStyle w:val="Heading2"/>
      </w:pPr>
      <w:bookmarkStart w:id="5" w:name="_Toc482103293"/>
      <w:r>
        <w:t>Which data can be accessed?</w:t>
      </w:r>
      <w:bookmarkEnd w:id="5"/>
    </w:p>
    <w:p w:rsidR="00E54A18" w:rsidRDefault="00E54A18" w:rsidP="00E54A18">
      <w:pPr>
        <w:rPr>
          <w:lang w:eastAsia="en-AU"/>
        </w:rPr>
      </w:pPr>
      <w:r>
        <w:rPr>
          <w:lang w:eastAsia="en-AU"/>
        </w:rPr>
        <w:t xml:space="preserve">In some models of consent, there is a concept of ‘sensitive’ and ‘non-sensitive’ data. Sensitive data typically include those data that may be socially stigmatising (e.g. HIV </w:t>
      </w:r>
      <w:r>
        <w:rPr>
          <w:lang w:eastAsia="en-AU"/>
        </w:rPr>
        <w:lastRenderedPageBreak/>
        <w:t>diagnosis, mental health involuntary admission) or thought to be compromising e.g. for health insurance purposes (e.g. pre-existing or genetic conditions), but might in theory include any data the patient nominates.</w:t>
      </w:r>
    </w:p>
    <w:p w:rsidR="00E54A18" w:rsidRDefault="00E54A18" w:rsidP="00E54A18">
      <w:pPr>
        <w:rPr>
          <w:lang w:eastAsia="en-AU"/>
        </w:rPr>
      </w:pPr>
      <w:r>
        <w:rPr>
          <w:lang w:eastAsia="en-AU"/>
        </w:rPr>
        <w:t>Clinically speaking, it is difficult to separate out sensitive and insensitive parts of the patient record, since most of the managed lists and other longitudinal data – problem list, current medications, allergies etc – are likely to contain items that relate to supposedly sensitive conditions, e.g. HIV, psychiatric prescriptions etc.</w:t>
      </w:r>
    </w:p>
    <w:p w:rsidR="006D0911" w:rsidRDefault="006D0911" w:rsidP="00E54A18">
      <w:pPr>
        <w:rPr>
          <w:lang w:eastAsia="en-AU"/>
        </w:rPr>
      </w:pPr>
      <w:r>
        <w:rPr>
          <w:lang w:eastAsia="en-AU"/>
        </w:rPr>
        <w:t xml:space="preserve">IT professionals often fantasise that the contents of the EHR can be sliced up and assigned differential access rights, but </w:t>
      </w:r>
      <w:proofErr w:type="gramStart"/>
      <w:r>
        <w:rPr>
          <w:lang w:eastAsia="en-AU"/>
        </w:rPr>
        <w:t>in reality, any</w:t>
      </w:r>
      <w:proofErr w:type="gramEnd"/>
      <w:r>
        <w:rPr>
          <w:lang w:eastAsia="en-AU"/>
        </w:rPr>
        <w:t xml:space="preserve"> such scheme risks a) being incomprehensible to its human users; b) technically complex and c) non-interoperable.</w:t>
      </w:r>
    </w:p>
    <w:p w:rsidR="00E54A18" w:rsidRDefault="00E54A18" w:rsidP="00BC0437">
      <w:pPr>
        <w:pStyle w:val="Heading2"/>
      </w:pPr>
      <w:bookmarkStart w:id="6" w:name="_Toc482103294"/>
      <w:r>
        <w:t>Access logging and sanctions</w:t>
      </w:r>
      <w:bookmarkEnd w:id="6"/>
    </w:p>
    <w:p w:rsidR="00E54A18" w:rsidRDefault="00916A60" w:rsidP="00E54A18">
      <w:pPr>
        <w:rPr>
          <w:lang w:eastAsia="en-AU"/>
        </w:rPr>
      </w:pPr>
      <w:r>
        <w:rPr>
          <w:lang w:eastAsia="en-AU"/>
        </w:rPr>
        <w:t>Access can be controlled by technical and social means. The technical approaches include various typical access control systems</w:t>
      </w:r>
      <w:r w:rsidR="006D0911">
        <w:rPr>
          <w:lang w:eastAsia="en-AU"/>
        </w:rPr>
        <w:t xml:space="preserve"> which are based on implementing rules based on some or </w:t>
      </w:r>
      <w:proofErr w:type="gramStart"/>
      <w:r w:rsidR="006D0911">
        <w:rPr>
          <w:lang w:eastAsia="en-AU"/>
        </w:rPr>
        <w:t>all of</w:t>
      </w:r>
      <w:proofErr w:type="gramEnd"/>
      <w:r w:rsidR="006D0911">
        <w:rPr>
          <w:lang w:eastAsia="en-AU"/>
        </w:rPr>
        <w:t xml:space="preserve"> the above-described aspects of data access. These are noted below. However, social control can also be exerted by use of global EHR access logging and advertising this fact. This provides a means of determining after the fact whether </w:t>
      </w:r>
      <w:proofErr w:type="gramStart"/>
      <w:r w:rsidR="006D0911">
        <w:rPr>
          <w:lang w:eastAsia="en-AU"/>
        </w:rPr>
        <w:t>particular accesses</w:t>
      </w:r>
      <w:proofErr w:type="gramEnd"/>
      <w:r w:rsidR="006D0911">
        <w:rPr>
          <w:lang w:eastAsia="en-AU"/>
        </w:rPr>
        <w:t xml:space="preserve"> were in fact legitimate.</w:t>
      </w:r>
    </w:p>
    <w:p w:rsidR="00BC0437" w:rsidRDefault="00BC0437" w:rsidP="00BC0437">
      <w:pPr>
        <w:pStyle w:val="Heading2"/>
      </w:pPr>
      <w:bookmarkStart w:id="7" w:name="_Toc482103301"/>
      <w:r>
        <w:t>Differential access to EHR Data</w:t>
      </w:r>
      <w:bookmarkEnd w:id="7"/>
    </w:p>
    <w:p w:rsidR="00BC0437" w:rsidRDefault="00BC0437" w:rsidP="00BC0437">
      <w:pPr>
        <w:rPr>
          <w:lang w:eastAsia="en-AU"/>
        </w:rPr>
      </w:pPr>
      <w:r>
        <w:rPr>
          <w:lang w:eastAsia="en-AU"/>
        </w:rPr>
        <w:t xml:space="preserve">Differential access to EHR data is a common concept in e-health. A basic division between administrative content, e.g. content captured at admission, for bookings etc, and clinical content. Within clinical content, a typical intention is to enable principle HCPs, i.e. consultants, primary GP etc, to see the whole EHR but to limit the visibility of data to e.g. ward nurses. Various schemes to </w:t>
      </w:r>
      <w:proofErr w:type="gramStart"/>
      <w:r>
        <w:rPr>
          <w:lang w:eastAsia="en-AU"/>
        </w:rPr>
        <w:t>effect</w:t>
      </w:r>
      <w:proofErr w:type="gramEnd"/>
      <w:r>
        <w:rPr>
          <w:lang w:eastAsia="en-AU"/>
        </w:rPr>
        <w:t xml:space="preserve"> such access have been described.</w:t>
      </w:r>
    </w:p>
    <w:p w:rsidR="00BC0437" w:rsidRPr="007C700F" w:rsidRDefault="00BC0437" w:rsidP="00BC0437">
      <w:pPr>
        <w:pStyle w:val="Heading3"/>
        <w:rPr>
          <w:lang w:eastAsia="en-AU"/>
        </w:rPr>
      </w:pPr>
      <w:bookmarkStart w:id="8" w:name="_Toc482103302"/>
      <w:r>
        <w:rPr>
          <w:lang w:eastAsia="en-AU"/>
        </w:rPr>
        <w:t>Content based access</w:t>
      </w:r>
      <w:bookmarkEnd w:id="8"/>
    </w:p>
    <w:p w:rsidR="00BC0437" w:rsidRPr="00E8425C" w:rsidRDefault="00BC0437" w:rsidP="00BC0437">
      <w:pPr>
        <w:rPr>
          <w:lang w:eastAsia="en-AU"/>
        </w:rPr>
      </w:pPr>
      <w:r>
        <w:rPr>
          <w:lang w:eastAsia="en-AU"/>
        </w:rPr>
        <w:t>In the shared EHR, it is proposed in one analysis that the following categories of data exist:</w:t>
      </w:r>
    </w:p>
    <w:p w:rsidR="00BC0437" w:rsidRDefault="00BC0437" w:rsidP="00BC0437">
      <w:pPr>
        <w:pStyle w:val="ListParagraph"/>
        <w:numPr>
          <w:ilvl w:val="0"/>
          <w:numId w:val="29"/>
        </w:numPr>
        <w:rPr>
          <w:lang w:eastAsia="en-AU"/>
        </w:rPr>
      </w:pPr>
      <w:r>
        <w:rPr>
          <w:lang w:eastAsia="en-AU"/>
        </w:rPr>
        <w:t>Administrative – not considered a separate data set in the original analysis (REF) but necessary if administrative staff are to be able to work with patient record without seeing clinical information;</w:t>
      </w:r>
    </w:p>
    <w:p w:rsidR="00BC0437" w:rsidRDefault="00BC0437" w:rsidP="00BC0437">
      <w:pPr>
        <w:pStyle w:val="ListParagraph"/>
        <w:numPr>
          <w:ilvl w:val="0"/>
          <w:numId w:val="29"/>
        </w:numPr>
        <w:rPr>
          <w:lang w:eastAsia="en-AU"/>
        </w:rPr>
      </w:pPr>
      <w:r>
        <w:rPr>
          <w:lang w:eastAsia="en-AU"/>
        </w:rPr>
        <w:t>Emergency – core data set sufficient for emergency care;</w:t>
      </w:r>
    </w:p>
    <w:p w:rsidR="00BC0437" w:rsidRDefault="00BC0437" w:rsidP="00BC0437">
      <w:pPr>
        <w:pStyle w:val="ListParagraph"/>
        <w:numPr>
          <w:ilvl w:val="0"/>
          <w:numId w:val="29"/>
        </w:numPr>
        <w:rPr>
          <w:lang w:eastAsia="en-AU"/>
        </w:rPr>
      </w:pPr>
      <w:r>
        <w:rPr>
          <w:lang w:eastAsia="en-AU"/>
        </w:rPr>
        <w:t>Shared – a wider subset of EMR data sufficient for more routine care;</w:t>
      </w:r>
    </w:p>
    <w:p w:rsidR="00BC0437" w:rsidRDefault="00BC0437" w:rsidP="00BC0437">
      <w:pPr>
        <w:pStyle w:val="ListParagraph"/>
        <w:numPr>
          <w:ilvl w:val="0"/>
          <w:numId w:val="29"/>
        </w:numPr>
        <w:rPr>
          <w:lang w:eastAsia="en-AU"/>
        </w:rPr>
      </w:pPr>
      <w:r>
        <w:rPr>
          <w:lang w:eastAsia="en-AU"/>
        </w:rPr>
        <w:t>Complete – an EHR that is clinically speaking the same level of detail as a typical institutional EMR.</w:t>
      </w:r>
    </w:p>
    <w:p w:rsidR="00BC0437" w:rsidRDefault="00BC0437" w:rsidP="00BC0437">
      <w:pPr>
        <w:rPr>
          <w:lang w:eastAsia="en-AU"/>
        </w:rPr>
      </w:pPr>
      <w:r>
        <w:rPr>
          <w:lang w:eastAsia="en-AU"/>
        </w:rPr>
        <w:t>It is assumed that shared EHR systems will initially accumulate ‘emergency’ data, then ‘shared’ data and over time grow to the ‘complete’ level. Practically speaking however, things are not so simple: different source institutions will be able to provide different types of data at different times, and for different types of patient, which data belong in each category is not likely to be identical.</w:t>
      </w:r>
    </w:p>
    <w:p w:rsidR="00BC0437" w:rsidRDefault="00BC0437" w:rsidP="00BC0437">
      <w:pPr>
        <w:rPr>
          <w:lang w:eastAsia="en-AU"/>
        </w:rPr>
      </w:pPr>
      <w:r>
        <w:rPr>
          <w:lang w:eastAsia="en-AU"/>
        </w:rPr>
        <w:t xml:space="preserve">Thus, while it has been proposed to mark data in the EHR as belonging to each category, </w:t>
      </w:r>
      <w:proofErr w:type="gramStart"/>
      <w:r>
        <w:rPr>
          <w:lang w:eastAsia="en-AU"/>
        </w:rPr>
        <w:t>in order to</w:t>
      </w:r>
      <w:proofErr w:type="gramEnd"/>
      <w:r>
        <w:rPr>
          <w:lang w:eastAsia="en-AU"/>
        </w:rPr>
        <w:t xml:space="preserve"> enable differential consent. However, this is likely to prove problematic, and is not recommended. It would thus not be useful as a basis for consent.</w:t>
      </w:r>
    </w:p>
    <w:p w:rsidR="00BC0437" w:rsidRDefault="00BC0437" w:rsidP="00BC0437">
      <w:pPr>
        <w:rPr>
          <w:lang w:eastAsia="en-AU"/>
        </w:rPr>
      </w:pPr>
      <w:r>
        <w:rPr>
          <w:lang w:eastAsia="en-AU"/>
        </w:rPr>
        <w:lastRenderedPageBreak/>
        <w:t xml:space="preserve">Therefore, we are likely to be left with just the division of administrative and clinical data as a basis for content-consent. Within an </w:t>
      </w:r>
      <w:proofErr w:type="spellStart"/>
      <w:r>
        <w:rPr>
          <w:lang w:eastAsia="en-AU"/>
        </w:rPr>
        <w:t>openEHR</w:t>
      </w:r>
      <w:proofErr w:type="spellEnd"/>
      <w:r>
        <w:rPr>
          <w:lang w:eastAsia="en-AU"/>
        </w:rPr>
        <w:t xml:space="preserve"> EHR, this is relatively easy to implement, since administrative information is normally recorded only in ADMIN_ENTRY data items.</w:t>
      </w:r>
    </w:p>
    <w:p w:rsidR="00BC0437" w:rsidRDefault="00BC0437" w:rsidP="00BC0437">
      <w:pPr>
        <w:pStyle w:val="Heading3"/>
        <w:rPr>
          <w:lang w:eastAsia="en-AU"/>
        </w:rPr>
      </w:pPr>
      <w:bookmarkStart w:id="9" w:name="_Toc482103303"/>
      <w:r>
        <w:rPr>
          <w:lang w:eastAsia="en-AU"/>
        </w:rPr>
        <w:t>Access based on sensitivity</w:t>
      </w:r>
      <w:bookmarkEnd w:id="9"/>
    </w:p>
    <w:p w:rsidR="00BC0437" w:rsidRDefault="00BC0437" w:rsidP="00BC0437">
      <w:pPr>
        <w:rPr>
          <w:lang w:eastAsia="en-AU"/>
        </w:rPr>
      </w:pPr>
      <w:proofErr w:type="gramStart"/>
      <w:r>
        <w:rPr>
          <w:lang w:eastAsia="en-AU"/>
        </w:rPr>
        <w:t>Alternatively</w:t>
      </w:r>
      <w:proofErr w:type="gramEnd"/>
      <w:r>
        <w:rPr>
          <w:lang w:eastAsia="en-AU"/>
        </w:rPr>
        <w:t xml:space="preserve"> the ‘sensitive/other’ notion of the EHR could potentially be implemented to enable differential access control. However, as for the emergency/shared/complete division, a detailed model is difficult to devise. Such a model would require a special part of the EHR to which certain data could be added. There are certainly some types of data that health consumers might reasonably want to hide, such as previous admissions to psychiatric institutions, encounters in prison health services etc. The danger is that the clinical integrity of the health record may be compromised by inappropriate use of such a mechanism, for example, if certain diagnoses or medications were to be moved to the sensitive part of the record.</w:t>
      </w:r>
      <w:r>
        <w:rPr>
          <w:lang w:eastAsia="en-AU"/>
        </w:rPr>
        <w:tab/>
      </w:r>
    </w:p>
    <w:p w:rsidR="00BC0437" w:rsidRDefault="00BC0437" w:rsidP="00BC0437">
      <w:pPr>
        <w:rPr>
          <w:lang w:eastAsia="en-AU"/>
        </w:rPr>
      </w:pPr>
      <w:r>
        <w:rPr>
          <w:lang w:eastAsia="en-AU"/>
        </w:rPr>
        <w:t>Assuming such a facility could be made to function properly in the sense of clinical semantics, a technical design would be required. This might be based on a ‘locked vault’ concept, where an extra key was required to access the contents of the vault, or some other scheme.</w:t>
      </w:r>
    </w:p>
    <w:p w:rsidR="00BC0437" w:rsidRDefault="00BC0437" w:rsidP="00BC0437">
      <w:pPr>
        <w:rPr>
          <w:lang w:eastAsia="en-AU"/>
        </w:rPr>
      </w:pPr>
      <w:r>
        <w:rPr>
          <w:lang w:eastAsia="en-AU"/>
        </w:rPr>
        <w:t>As previously noted, any scheme must be implementable and understandable by users.</w:t>
      </w:r>
    </w:p>
    <w:p w:rsidR="00BC0437" w:rsidRDefault="00BC0437" w:rsidP="00BC0437">
      <w:pPr>
        <w:pStyle w:val="Heading3"/>
        <w:rPr>
          <w:lang w:eastAsia="en-AU"/>
        </w:rPr>
      </w:pPr>
      <w:bookmarkStart w:id="10" w:name="_Toc482103304"/>
      <w:r>
        <w:rPr>
          <w:lang w:eastAsia="en-AU"/>
        </w:rPr>
        <w:t>Manually controlled access of committed items</w:t>
      </w:r>
      <w:bookmarkEnd w:id="10"/>
    </w:p>
    <w:p w:rsidR="00BC0437" w:rsidRDefault="00BC0437" w:rsidP="00BC0437">
      <w:pPr>
        <w:rPr>
          <w:lang w:eastAsia="en-AU"/>
        </w:rPr>
      </w:pPr>
      <w:r>
        <w:rPr>
          <w:lang w:eastAsia="en-AU"/>
        </w:rPr>
        <w:t xml:space="preserve">Another way to control access to EHR data is to enable marking of individual committed data items as being accessible to certain parties. This is likely only to work for an EHR that consists of well-defined commit items, such as </w:t>
      </w:r>
      <w:proofErr w:type="spellStart"/>
      <w:r>
        <w:rPr>
          <w:lang w:eastAsia="en-AU"/>
        </w:rPr>
        <w:t>openEHR</w:t>
      </w:r>
      <w:proofErr w:type="spellEnd"/>
      <w:r>
        <w:rPr>
          <w:lang w:eastAsia="en-AU"/>
        </w:rPr>
        <w:t xml:space="preserve">, or document-based EHR systems. In an </w:t>
      </w:r>
      <w:proofErr w:type="spellStart"/>
      <w:r>
        <w:rPr>
          <w:lang w:eastAsia="en-AU"/>
        </w:rPr>
        <w:t>openEHR</w:t>
      </w:r>
      <w:proofErr w:type="spellEnd"/>
      <w:r>
        <w:rPr>
          <w:lang w:eastAsia="en-AU"/>
        </w:rPr>
        <w:t xml:space="preserve"> system, that unit of visibility would be the Composition version.</w:t>
      </w:r>
    </w:p>
    <w:p w:rsidR="00BC0437" w:rsidRDefault="00BC0437" w:rsidP="00BC0437">
      <w:pPr>
        <w:rPr>
          <w:lang w:eastAsia="en-AU"/>
        </w:rPr>
      </w:pPr>
      <w:r>
        <w:rPr>
          <w:lang w:eastAsia="en-AU"/>
        </w:rPr>
        <w:t>One scheme for doing this was developed by the Estonian e-Health program (see ref below), as follows:</w:t>
      </w:r>
    </w:p>
    <w:p w:rsidR="00BC0437" w:rsidRDefault="00BC0437" w:rsidP="00BC0437">
      <w:pPr>
        <w:pStyle w:val="ListParagraph"/>
        <w:numPr>
          <w:ilvl w:val="0"/>
          <w:numId w:val="34"/>
        </w:numPr>
        <w:rPr>
          <w:lang w:eastAsia="en-AU"/>
        </w:rPr>
      </w:pPr>
      <w:r>
        <w:rPr>
          <w:lang w:eastAsia="en-AU"/>
        </w:rPr>
        <w:t>Items visible with no access restrictions;</w:t>
      </w:r>
    </w:p>
    <w:p w:rsidR="00BC0437" w:rsidRDefault="00BC0437" w:rsidP="00BC0437">
      <w:pPr>
        <w:pStyle w:val="ListParagraph"/>
        <w:numPr>
          <w:ilvl w:val="0"/>
          <w:numId w:val="34"/>
        </w:numPr>
        <w:rPr>
          <w:lang w:eastAsia="en-AU"/>
        </w:rPr>
      </w:pPr>
      <w:r>
        <w:rPr>
          <w:lang w:eastAsia="en-AU"/>
        </w:rPr>
        <w:t>Items closed by a clinician</w:t>
      </w:r>
    </w:p>
    <w:p w:rsidR="00BC0437" w:rsidRDefault="00BC0437" w:rsidP="00BC0437">
      <w:pPr>
        <w:pStyle w:val="ListParagraph"/>
        <w:numPr>
          <w:ilvl w:val="1"/>
          <w:numId w:val="34"/>
        </w:numPr>
        <w:rPr>
          <w:lang w:eastAsia="en-AU"/>
        </w:rPr>
      </w:pPr>
      <w:r>
        <w:rPr>
          <w:lang w:eastAsia="en-AU"/>
        </w:rPr>
        <w:t>Includes items that may only be made visible to the patient after review with doctor, and items that may never become visible to the patient;</w:t>
      </w:r>
    </w:p>
    <w:p w:rsidR="00BC0437" w:rsidRDefault="00BC0437" w:rsidP="00BC0437">
      <w:pPr>
        <w:pStyle w:val="ListParagraph"/>
        <w:numPr>
          <w:ilvl w:val="0"/>
          <w:numId w:val="34"/>
        </w:numPr>
        <w:rPr>
          <w:lang w:eastAsia="en-AU"/>
        </w:rPr>
      </w:pPr>
      <w:r>
        <w:rPr>
          <w:lang w:eastAsia="en-AU"/>
        </w:rPr>
        <w:t>Items closed by the patient</w:t>
      </w:r>
    </w:p>
    <w:p w:rsidR="00BC0437" w:rsidRDefault="00BC0437" w:rsidP="00BC0437">
      <w:pPr>
        <w:pStyle w:val="ListParagraph"/>
        <w:numPr>
          <w:ilvl w:val="1"/>
          <w:numId w:val="34"/>
        </w:numPr>
        <w:rPr>
          <w:lang w:eastAsia="en-AU"/>
        </w:rPr>
      </w:pPr>
      <w:r>
        <w:rPr>
          <w:lang w:eastAsia="en-AU"/>
        </w:rPr>
        <w:t>Documents hidden from clinicians</w:t>
      </w:r>
    </w:p>
    <w:p w:rsidR="00BC0437" w:rsidRDefault="00BC0437" w:rsidP="00BC0437">
      <w:pPr>
        <w:pStyle w:val="ListParagraph"/>
        <w:numPr>
          <w:ilvl w:val="1"/>
          <w:numId w:val="34"/>
        </w:numPr>
        <w:rPr>
          <w:lang w:eastAsia="en-AU"/>
        </w:rPr>
      </w:pPr>
      <w:r>
        <w:rPr>
          <w:lang w:eastAsia="en-AU"/>
        </w:rPr>
        <w:t>Documents hidden from legal representatives (e.g. parents, guardians) but visible to clinicians.</w:t>
      </w:r>
    </w:p>
    <w:p w:rsidR="00BC0437" w:rsidRDefault="00BC0437" w:rsidP="00BC0437">
      <w:pPr>
        <w:rPr>
          <w:lang w:eastAsia="en-AU"/>
        </w:rPr>
      </w:pPr>
      <w:r>
        <w:rPr>
          <w:lang w:eastAsia="en-AU"/>
        </w:rPr>
        <w:t xml:space="preserve">This scheme would be implementable within an </w:t>
      </w:r>
      <w:proofErr w:type="spellStart"/>
      <w:r>
        <w:rPr>
          <w:lang w:eastAsia="en-AU"/>
        </w:rPr>
        <w:t>openEHR</w:t>
      </w:r>
      <w:proofErr w:type="spellEnd"/>
      <w:r>
        <w:rPr>
          <w:lang w:eastAsia="en-AU"/>
        </w:rPr>
        <w:t xml:space="preserve"> health record, although whether it is useful to do so remains a question, since there is always the question of: what data, if hidden, will compromise healthcare delivery?</w:t>
      </w:r>
    </w:p>
    <w:p w:rsidR="00BC0437" w:rsidRPr="002A4FCC" w:rsidRDefault="00BC0437" w:rsidP="00BC0437">
      <w:pPr>
        <w:rPr>
          <w:lang w:eastAsia="en-AU"/>
        </w:rPr>
      </w:pPr>
      <w:r>
        <w:rPr>
          <w:lang w:eastAsia="en-AU"/>
        </w:rPr>
        <w:t>Again, although not described specifically as part of the scheme, it is most likely that administrative data should be accessible differently from clinical data.</w:t>
      </w:r>
    </w:p>
    <w:p w:rsidR="00BC0437" w:rsidRDefault="00BC0437" w:rsidP="00BC0437">
      <w:pPr>
        <w:pStyle w:val="Heading3"/>
      </w:pPr>
      <w:bookmarkStart w:id="11" w:name="_Toc482103305"/>
      <w:r>
        <w:t>Roles</w:t>
      </w:r>
      <w:bookmarkEnd w:id="11"/>
    </w:p>
    <w:p w:rsidR="00BC0437" w:rsidRDefault="00BC0437" w:rsidP="00BC0437">
      <w:pPr>
        <w:rPr>
          <w:lang w:eastAsia="en-AU"/>
        </w:rPr>
      </w:pPr>
      <w:r>
        <w:rPr>
          <w:lang w:eastAsia="en-AU"/>
        </w:rPr>
        <w:lastRenderedPageBreak/>
        <w:t>Differential access to content relies on a system of roles, i.e. kinds of employees and/or their function in a consultation or in-patient care episode. Even the simplest system of content control requires some roles to be identified, as follows:</w:t>
      </w:r>
    </w:p>
    <w:p w:rsidR="00BC0437" w:rsidRDefault="00BC0437" w:rsidP="00BC0437">
      <w:pPr>
        <w:pStyle w:val="ListParagraph"/>
        <w:numPr>
          <w:ilvl w:val="0"/>
          <w:numId w:val="35"/>
        </w:numPr>
        <w:rPr>
          <w:lang w:eastAsia="en-AU"/>
        </w:rPr>
      </w:pPr>
      <w:r>
        <w:rPr>
          <w:lang w:eastAsia="en-AU"/>
        </w:rPr>
        <w:t>Patient</w:t>
      </w:r>
    </w:p>
    <w:p w:rsidR="00BC0437" w:rsidRDefault="00BC0437" w:rsidP="00BC0437">
      <w:pPr>
        <w:pStyle w:val="ListParagraph"/>
        <w:numPr>
          <w:ilvl w:val="0"/>
          <w:numId w:val="35"/>
        </w:numPr>
        <w:rPr>
          <w:lang w:eastAsia="en-AU"/>
        </w:rPr>
      </w:pPr>
      <w:r>
        <w:rPr>
          <w:lang w:eastAsia="en-AU"/>
        </w:rPr>
        <w:t>Patient’s legal representative, if applicable (e.g. family member with power of attorney)</w:t>
      </w:r>
    </w:p>
    <w:p w:rsidR="00BC0437" w:rsidRDefault="00BC0437" w:rsidP="00BC0437">
      <w:pPr>
        <w:pStyle w:val="ListParagraph"/>
        <w:numPr>
          <w:ilvl w:val="0"/>
          <w:numId w:val="35"/>
        </w:numPr>
        <w:rPr>
          <w:lang w:eastAsia="en-AU"/>
        </w:rPr>
      </w:pPr>
      <w:r>
        <w:rPr>
          <w:lang w:eastAsia="en-AU"/>
        </w:rPr>
        <w:t>Patient’s health representative / guardian, if applicable (e.g. parent)</w:t>
      </w:r>
    </w:p>
    <w:p w:rsidR="00BC0437" w:rsidRDefault="00BC0437" w:rsidP="00BC0437">
      <w:pPr>
        <w:pStyle w:val="ListParagraph"/>
        <w:numPr>
          <w:ilvl w:val="0"/>
          <w:numId w:val="35"/>
        </w:numPr>
        <w:rPr>
          <w:lang w:eastAsia="en-AU"/>
        </w:rPr>
      </w:pPr>
      <w:r>
        <w:rPr>
          <w:lang w:eastAsia="en-AU"/>
        </w:rPr>
        <w:t>Physician in care delivery relationship (i.e. with ‘legitimate relationship’)</w:t>
      </w:r>
    </w:p>
    <w:p w:rsidR="00BC0437" w:rsidRDefault="00BC0437" w:rsidP="00BC0437">
      <w:pPr>
        <w:pStyle w:val="ListParagraph"/>
        <w:numPr>
          <w:ilvl w:val="0"/>
          <w:numId w:val="35"/>
        </w:numPr>
        <w:rPr>
          <w:lang w:eastAsia="en-AU"/>
        </w:rPr>
      </w:pPr>
      <w:r>
        <w:rPr>
          <w:lang w:eastAsia="en-AU"/>
        </w:rPr>
        <w:t>Administrative staff member.</w:t>
      </w:r>
    </w:p>
    <w:p w:rsidR="00BC0437" w:rsidRDefault="00BC0437" w:rsidP="00BC0437">
      <w:pPr>
        <w:rPr>
          <w:lang w:eastAsia="en-AU"/>
        </w:rPr>
      </w:pPr>
      <w:r>
        <w:rPr>
          <w:lang w:eastAsia="en-AU"/>
        </w:rPr>
        <w:t xml:space="preserve">Defining the ‘physician’ category as any registered physician in a care relationship with the patient (i.e. for which the physician’s HCF has a mandate for care from the patient) is a </w:t>
      </w:r>
      <w:bookmarkStart w:id="12" w:name="_GoBack"/>
      <w:bookmarkEnd w:id="12"/>
      <w:r>
        <w:rPr>
          <w:lang w:eastAsia="en-AU"/>
        </w:rPr>
        <w:t>useful simplifying principle compared to trying to use ‘hard’ roles such as ‘GP’, ‘consultant’, ‘on-call physician’ etc.</w:t>
      </w:r>
    </w:p>
    <w:p w:rsidR="00BC0437" w:rsidRDefault="00BC0437" w:rsidP="00BC0437">
      <w:pPr>
        <w:rPr>
          <w:lang w:eastAsia="en-AU"/>
        </w:rPr>
      </w:pPr>
      <w:r>
        <w:rPr>
          <w:lang w:eastAsia="en-AU"/>
        </w:rPr>
        <w:t xml:space="preserve">Note that physicians in any setting, including schools, prisons, military, </w:t>
      </w:r>
      <w:proofErr w:type="gramStart"/>
      <w:r>
        <w:rPr>
          <w:lang w:eastAsia="en-AU"/>
        </w:rPr>
        <w:t>and also</w:t>
      </w:r>
      <w:proofErr w:type="gramEnd"/>
      <w:r>
        <w:rPr>
          <w:lang w:eastAsia="en-AU"/>
        </w:rPr>
        <w:t xml:space="preserve"> midwives working solo would all be considered as physicians in a care delivery relationship with the patient.</w:t>
      </w:r>
    </w:p>
    <w:p w:rsidR="00BC0437" w:rsidRDefault="00BC0437" w:rsidP="00BC0437">
      <w:pPr>
        <w:rPr>
          <w:lang w:eastAsia="en-AU"/>
        </w:rPr>
      </w:pPr>
      <w:r>
        <w:rPr>
          <w:lang w:eastAsia="en-AU"/>
        </w:rPr>
        <w:t>Other roles that may need to be considered separately from those of the attending physician:</w:t>
      </w:r>
    </w:p>
    <w:p w:rsidR="00BC0437" w:rsidRDefault="00BC0437" w:rsidP="00BC0437">
      <w:pPr>
        <w:pStyle w:val="ListParagraph"/>
        <w:numPr>
          <w:ilvl w:val="0"/>
          <w:numId w:val="36"/>
        </w:numPr>
        <w:rPr>
          <w:lang w:eastAsia="en-AU"/>
        </w:rPr>
      </w:pPr>
      <w:r>
        <w:rPr>
          <w:lang w:eastAsia="en-AU"/>
        </w:rPr>
        <w:t>Pathologist, e.g. after patient death, for autopsy etc;</w:t>
      </w:r>
    </w:p>
    <w:p w:rsidR="00BC0437" w:rsidRDefault="00BC0437" w:rsidP="00BC0437">
      <w:pPr>
        <w:pStyle w:val="ListParagraph"/>
        <w:numPr>
          <w:ilvl w:val="0"/>
          <w:numId w:val="36"/>
        </w:numPr>
        <w:rPr>
          <w:lang w:eastAsia="en-AU"/>
        </w:rPr>
      </w:pPr>
      <w:r>
        <w:rPr>
          <w:lang w:eastAsia="en-AU"/>
        </w:rPr>
        <w:t>Forensic medical specialist, in specific cases, e.g. major adverse events and death, criminal investigations;</w:t>
      </w:r>
    </w:p>
    <w:p w:rsidR="00BC0437" w:rsidRDefault="00BC0437" w:rsidP="00BC0437">
      <w:pPr>
        <w:pStyle w:val="ListParagraph"/>
        <w:numPr>
          <w:ilvl w:val="0"/>
          <w:numId w:val="36"/>
        </w:numPr>
        <w:rPr>
          <w:lang w:eastAsia="en-AU"/>
        </w:rPr>
      </w:pPr>
      <w:r>
        <w:rPr>
          <w:lang w:eastAsia="en-AU"/>
        </w:rPr>
        <w:t>Pharmacists: it is unlikely that a pharmacist not working directly with an attending physician should be able to see the record, but there may be a need to implement a capability to check medication interactions which might be available to the pharmacy, without the underlying data being made directly visible;</w:t>
      </w:r>
    </w:p>
    <w:p w:rsidR="00BC0437" w:rsidRPr="000B153E" w:rsidRDefault="00BC0437" w:rsidP="00BC0437">
      <w:pPr>
        <w:pStyle w:val="ListParagraph"/>
        <w:numPr>
          <w:ilvl w:val="0"/>
          <w:numId w:val="36"/>
        </w:numPr>
        <w:rPr>
          <w:lang w:eastAsia="en-AU"/>
        </w:rPr>
      </w:pPr>
      <w:r>
        <w:rPr>
          <w:lang w:eastAsia="en-AU"/>
        </w:rPr>
        <w:t>School healthcare employee: some restricted rights, e.g. to emergency data, vaccination list might make sense, depending on what situations can occur in the school setting.</w:t>
      </w:r>
    </w:p>
    <w:p w:rsidR="00BC0437" w:rsidRDefault="00BC0437" w:rsidP="00BC0437">
      <w:pPr>
        <w:pStyle w:val="Heading2"/>
      </w:pPr>
      <w:bookmarkStart w:id="13" w:name="_Toc482103306"/>
      <w:r>
        <w:t>Access to in-situ data versus serialised data (messages etc)</w:t>
      </w:r>
      <w:bookmarkEnd w:id="13"/>
    </w:p>
    <w:p w:rsidR="00BC0437" w:rsidRDefault="00BC0437" w:rsidP="00BC0437">
      <w:pPr>
        <w:rPr>
          <w:lang w:eastAsia="en-AU"/>
        </w:rPr>
      </w:pPr>
      <w:r>
        <w:rPr>
          <w:lang w:eastAsia="en-AU"/>
        </w:rPr>
        <w:t xml:space="preserve">The discussion so far pertains to live access of data by users or other systems, and assumes that as soon as the user or other system logs out or drops contact, no persistent form of the accessed data </w:t>
      </w:r>
      <w:proofErr w:type="gramStart"/>
      <w:r>
        <w:rPr>
          <w:lang w:eastAsia="en-AU"/>
        </w:rPr>
        <w:t>remain</w:t>
      </w:r>
      <w:proofErr w:type="gramEnd"/>
      <w:r>
        <w:rPr>
          <w:lang w:eastAsia="en-AU"/>
        </w:rPr>
        <w:t xml:space="preserve"> in uncontrolled location.</w:t>
      </w:r>
    </w:p>
    <w:p w:rsidR="00BC0437" w:rsidRPr="00432B22" w:rsidRDefault="00BC0437" w:rsidP="00BC0437">
      <w:pPr>
        <w:rPr>
          <w:lang w:eastAsia="en-AU"/>
        </w:rPr>
      </w:pPr>
      <w:r>
        <w:rPr>
          <w:lang w:eastAsia="en-AU"/>
        </w:rPr>
        <w:t>This leaves two problems to be resolved:</w:t>
      </w:r>
    </w:p>
    <w:p w:rsidR="00BC0437" w:rsidRDefault="00BC0437" w:rsidP="00BC0437">
      <w:pPr>
        <w:pStyle w:val="ListParagraph"/>
        <w:numPr>
          <w:ilvl w:val="0"/>
          <w:numId w:val="30"/>
        </w:numPr>
        <w:rPr>
          <w:lang w:eastAsia="en-AU"/>
        </w:rPr>
      </w:pPr>
      <w:r>
        <w:rPr>
          <w:lang w:eastAsia="en-AU"/>
        </w:rPr>
        <w:t>Local (device-side) capture or caching of data – this might be both legitimate, e.g. to allow offline health workers to work, and malicious;</w:t>
      </w:r>
    </w:p>
    <w:p w:rsidR="00BC0437" w:rsidRDefault="00BC0437" w:rsidP="00BC0437">
      <w:pPr>
        <w:pStyle w:val="ListParagraph"/>
        <w:numPr>
          <w:ilvl w:val="0"/>
          <w:numId w:val="30"/>
        </w:numPr>
        <w:rPr>
          <w:lang w:eastAsia="en-AU"/>
        </w:rPr>
      </w:pPr>
      <w:r>
        <w:rPr>
          <w:lang w:eastAsia="en-AU"/>
        </w:rPr>
        <w:t>How consent for messages between systems should work.</w:t>
      </w:r>
    </w:p>
    <w:p w:rsidR="00BC0437" w:rsidRDefault="00BC0437" w:rsidP="00BC0437">
      <w:pPr>
        <w:rPr>
          <w:lang w:eastAsia="en-AU"/>
        </w:rPr>
      </w:pPr>
      <w:r>
        <w:rPr>
          <w:lang w:eastAsia="en-AU"/>
        </w:rPr>
        <w:t>In the first case, legitimate caching would require encryption based on an authorised user and authentication method, ideally with a time-limiting mechanism as well.</w:t>
      </w:r>
    </w:p>
    <w:p w:rsidR="00BC0437" w:rsidRDefault="00BC0437" w:rsidP="00BC0437">
      <w:pPr>
        <w:pStyle w:val="Heading3"/>
        <w:rPr>
          <w:lang w:eastAsia="en-AU"/>
        </w:rPr>
      </w:pPr>
      <w:bookmarkStart w:id="14" w:name="_Toc482103307"/>
      <w:r>
        <w:rPr>
          <w:lang w:eastAsia="en-AU"/>
        </w:rPr>
        <w:t>Consent for B2B communication (messages)</w:t>
      </w:r>
      <w:bookmarkEnd w:id="14"/>
    </w:p>
    <w:p w:rsidR="00BC0437" w:rsidRDefault="00BC0437" w:rsidP="00BC0437">
      <w:pPr>
        <w:rPr>
          <w:lang w:eastAsia="en-AU"/>
        </w:rPr>
      </w:pPr>
      <w:r>
        <w:rPr>
          <w:lang w:eastAsia="en-AU"/>
        </w:rPr>
        <w:lastRenderedPageBreak/>
        <w:t>In an environment where messages are sent between systems, some form of consent is likely to be required. Messages that occur in routine care, such as sending of lab results, radiology etc, would normally be encrypted within a PKI or similar kind of system, in which private / public key pairs are used by sending and receiving systems.</w:t>
      </w:r>
    </w:p>
    <w:p w:rsidR="00BC0437" w:rsidRDefault="00BC0437" w:rsidP="00BC0437">
      <w:pPr>
        <w:rPr>
          <w:lang w:eastAsia="en-AU"/>
        </w:rPr>
      </w:pPr>
      <w:r>
        <w:rPr>
          <w:lang w:eastAsia="en-AU"/>
        </w:rPr>
        <w:t>The easiest way to represent consent for patient data to be transferred in messages is probably as follows:</w:t>
      </w:r>
    </w:p>
    <w:p w:rsidR="00BC0437" w:rsidRDefault="00BC0437" w:rsidP="00BC0437">
      <w:pPr>
        <w:pStyle w:val="ListParagraph"/>
        <w:numPr>
          <w:ilvl w:val="0"/>
          <w:numId w:val="31"/>
        </w:numPr>
        <w:rPr>
          <w:lang w:eastAsia="en-AU"/>
        </w:rPr>
      </w:pPr>
      <w:r>
        <w:rPr>
          <w:lang w:eastAsia="en-AU"/>
        </w:rPr>
        <w:t>For in-patient care episodes, include extra conditions on the main consent document created at admission that state:</w:t>
      </w:r>
    </w:p>
    <w:p w:rsidR="00BC0437" w:rsidRDefault="00BC0437" w:rsidP="00BC0437">
      <w:pPr>
        <w:pStyle w:val="ListParagraph"/>
        <w:numPr>
          <w:ilvl w:val="1"/>
          <w:numId w:val="31"/>
        </w:numPr>
        <w:rPr>
          <w:lang w:eastAsia="en-AU"/>
        </w:rPr>
      </w:pPr>
      <w:r>
        <w:rPr>
          <w:lang w:eastAsia="en-AU"/>
        </w:rPr>
        <w:t>that the admitting institution may send and receive messages containing identified patient data to specific data partners for clinical care purposes;</w:t>
      </w:r>
    </w:p>
    <w:p w:rsidR="00BC0437" w:rsidRDefault="00BC0437" w:rsidP="00BC0437">
      <w:pPr>
        <w:pStyle w:val="ListParagraph"/>
        <w:numPr>
          <w:ilvl w:val="1"/>
          <w:numId w:val="31"/>
        </w:numPr>
        <w:rPr>
          <w:lang w:eastAsia="en-AU"/>
        </w:rPr>
      </w:pPr>
      <w:r>
        <w:rPr>
          <w:lang w:eastAsia="en-AU"/>
        </w:rPr>
        <w:t>that all transmissions to such data partners are encrypted, and that the admitting institution guarantees the same privacy conditions as for internal (EMR) data;</w:t>
      </w:r>
    </w:p>
    <w:p w:rsidR="00BC0437" w:rsidRDefault="00BC0437" w:rsidP="00BC0437">
      <w:pPr>
        <w:pStyle w:val="ListParagraph"/>
        <w:numPr>
          <w:ilvl w:val="0"/>
          <w:numId w:val="31"/>
        </w:numPr>
        <w:rPr>
          <w:lang w:eastAsia="en-AU"/>
        </w:rPr>
      </w:pPr>
      <w:r>
        <w:rPr>
          <w:lang w:eastAsia="en-AU"/>
        </w:rPr>
        <w:t>For general practice / family clinics, a time-unlimited condition to enable messaging for clinical care purposes can be included, with the same specifics as above.</w:t>
      </w:r>
    </w:p>
    <w:p w:rsidR="00BC0437" w:rsidRDefault="00BC0437" w:rsidP="00E54A18">
      <w:pPr>
        <w:rPr>
          <w:lang w:eastAsia="en-AU"/>
        </w:rPr>
      </w:pPr>
      <w:r>
        <w:rPr>
          <w:lang w:eastAsia="en-AU"/>
        </w:rPr>
        <w:t>This approach makes the primary institution or clinic in each case responsible for privacy of patient data in messages, and holds them legally responsible in the same way. It also gives them the freedom to change data partners without informing the patient, as would been needed if a new pathology lab is connected to a hospital.</w:t>
      </w:r>
    </w:p>
    <w:p w:rsidR="00BE3E79" w:rsidRPr="00E54A18" w:rsidRDefault="00BE3E79" w:rsidP="00BE3E79">
      <w:pPr>
        <w:pStyle w:val="Heading1"/>
        <w:rPr>
          <w:lang w:eastAsia="en-AU"/>
        </w:rPr>
      </w:pPr>
      <w:r>
        <w:rPr>
          <w:lang w:eastAsia="en-AU"/>
        </w:rPr>
        <w:lastRenderedPageBreak/>
        <w:t xml:space="preserve">Practical </w:t>
      </w:r>
      <w:r w:rsidR="00BC0437">
        <w:rPr>
          <w:lang w:eastAsia="en-AU"/>
        </w:rPr>
        <w:t>Considerations</w:t>
      </w:r>
    </w:p>
    <w:p w:rsidR="00E54A18" w:rsidRDefault="00BC0437" w:rsidP="002C6661">
      <w:pPr>
        <w:pStyle w:val="Heading2"/>
      </w:pPr>
      <w:r>
        <w:t>Point of care</w:t>
      </w:r>
    </w:p>
    <w:p w:rsidR="006D0911" w:rsidRDefault="006D0911" w:rsidP="00E54A18">
      <w:pPr>
        <w:rPr>
          <w:lang w:eastAsia="en-AU"/>
        </w:rPr>
      </w:pPr>
      <w:r>
        <w:rPr>
          <w:lang w:eastAsia="en-AU"/>
        </w:rPr>
        <w:t>A system of consent for a shared EHR needs above all to be understandable by users and implementable</w:t>
      </w:r>
      <w:r w:rsidR="002C6661">
        <w:rPr>
          <w:lang w:eastAsia="en-AU"/>
        </w:rPr>
        <w:t xml:space="preserve"> in software and data.</w:t>
      </w:r>
    </w:p>
    <w:p w:rsidR="006D0911" w:rsidRDefault="006D0911" w:rsidP="00E54A18">
      <w:pPr>
        <w:rPr>
          <w:lang w:eastAsia="en-AU"/>
        </w:rPr>
      </w:pPr>
      <w:r>
        <w:rPr>
          <w:lang w:eastAsia="en-AU"/>
        </w:rPr>
        <w:t>Underlying principle</w:t>
      </w:r>
      <w:r w:rsidR="0033115A">
        <w:rPr>
          <w:lang w:eastAsia="en-AU"/>
        </w:rPr>
        <w:t>s</w:t>
      </w:r>
      <w:r>
        <w:rPr>
          <w:lang w:eastAsia="en-AU"/>
        </w:rPr>
        <w:t xml:space="preserve"> that may be used </w:t>
      </w:r>
      <w:r w:rsidR="0033115A">
        <w:rPr>
          <w:lang w:eastAsia="en-AU"/>
        </w:rPr>
        <w:t>for primary (healthcare delivery) uses are</w:t>
      </w:r>
      <w:r>
        <w:rPr>
          <w:lang w:eastAsia="en-AU"/>
        </w:rPr>
        <w:t>:</w:t>
      </w:r>
    </w:p>
    <w:p w:rsidR="00E54A18" w:rsidRDefault="006D0911" w:rsidP="0055459C">
      <w:pPr>
        <w:pStyle w:val="ListParagraph"/>
        <w:numPr>
          <w:ilvl w:val="0"/>
          <w:numId w:val="25"/>
        </w:numPr>
        <w:rPr>
          <w:lang w:eastAsia="en-AU"/>
        </w:rPr>
      </w:pPr>
      <w:r>
        <w:rPr>
          <w:lang w:eastAsia="en-AU"/>
        </w:rPr>
        <w:t>m</w:t>
      </w:r>
      <w:r w:rsidR="00E54A18">
        <w:rPr>
          <w:lang w:eastAsia="en-AU"/>
        </w:rPr>
        <w:t xml:space="preserve">ost </w:t>
      </w:r>
      <w:r w:rsidR="0033115A">
        <w:rPr>
          <w:lang w:eastAsia="en-AU"/>
        </w:rPr>
        <w:t>citizens</w:t>
      </w:r>
      <w:r w:rsidR="00E54A18">
        <w:rPr>
          <w:lang w:eastAsia="en-AU"/>
        </w:rPr>
        <w:t xml:space="preserve"> prefer to provide open access to HCPs </w:t>
      </w:r>
      <w:r>
        <w:rPr>
          <w:lang w:eastAsia="en-AU"/>
        </w:rPr>
        <w:t xml:space="preserve">in a legitimate relationship </w:t>
      </w:r>
      <w:r w:rsidR="00E54A18">
        <w:rPr>
          <w:lang w:eastAsia="en-AU"/>
        </w:rPr>
        <w:t xml:space="preserve">during </w:t>
      </w:r>
      <w:r>
        <w:rPr>
          <w:lang w:eastAsia="en-AU"/>
        </w:rPr>
        <w:t xml:space="preserve">a period of </w:t>
      </w:r>
      <w:r w:rsidR="00E54A18">
        <w:rPr>
          <w:lang w:eastAsia="en-AU"/>
        </w:rPr>
        <w:t xml:space="preserve">care, and for the health record to </w:t>
      </w:r>
      <w:r>
        <w:rPr>
          <w:lang w:eastAsia="en-AU"/>
        </w:rPr>
        <w:t>be otherwise maintained private;</w:t>
      </w:r>
    </w:p>
    <w:p w:rsidR="00F06819" w:rsidRDefault="00F06819" w:rsidP="0055459C">
      <w:pPr>
        <w:pStyle w:val="ListParagraph"/>
        <w:numPr>
          <w:ilvl w:val="0"/>
          <w:numId w:val="25"/>
        </w:numPr>
        <w:rPr>
          <w:lang w:eastAsia="en-AU"/>
        </w:rPr>
      </w:pPr>
      <w:r>
        <w:rPr>
          <w:lang w:eastAsia="en-AU"/>
        </w:rPr>
        <w:t>most citizens accept the need for emergency HCPs to obtain access to the patient record without the usual consent negotiation, if this is not possible, i.e. emergency access;</w:t>
      </w:r>
    </w:p>
    <w:p w:rsidR="0033115A" w:rsidRDefault="0033115A" w:rsidP="0055459C">
      <w:pPr>
        <w:pStyle w:val="ListParagraph"/>
        <w:numPr>
          <w:ilvl w:val="0"/>
          <w:numId w:val="25"/>
        </w:numPr>
        <w:rPr>
          <w:lang w:eastAsia="en-AU"/>
        </w:rPr>
      </w:pPr>
      <w:r>
        <w:rPr>
          <w:lang w:eastAsia="en-AU"/>
        </w:rPr>
        <w:t>it is assumed that global EHR access logging is in place, and that any access (read or write) is logged in a permanent way</w:t>
      </w:r>
      <w:r w:rsidR="002C6661">
        <w:rPr>
          <w:lang w:eastAsia="en-AU"/>
        </w:rPr>
        <w:t>, with the HCP user id, name, date and time, location and technical address (typically device type, name and IP).</w:t>
      </w:r>
    </w:p>
    <w:p w:rsidR="00F06819" w:rsidRDefault="00F06819" w:rsidP="00F06819">
      <w:pPr>
        <w:pStyle w:val="Heading3"/>
        <w:rPr>
          <w:lang w:eastAsia="en-AU"/>
        </w:rPr>
      </w:pPr>
      <w:bookmarkStart w:id="15" w:name="_Toc482103296"/>
      <w:r>
        <w:rPr>
          <w:lang w:eastAsia="en-AU"/>
        </w:rPr>
        <w:t>Simple ‘claimed consent’ model</w:t>
      </w:r>
      <w:bookmarkEnd w:id="15"/>
    </w:p>
    <w:p w:rsidR="0033115A" w:rsidRDefault="0033115A" w:rsidP="0033115A">
      <w:pPr>
        <w:rPr>
          <w:lang w:eastAsia="en-AU"/>
        </w:rPr>
      </w:pPr>
      <w:r>
        <w:rPr>
          <w:lang w:eastAsia="en-AU"/>
        </w:rPr>
        <w:t xml:space="preserve">On this basis, consent for a shared EHR </w:t>
      </w:r>
      <w:r w:rsidR="004211CB">
        <w:rPr>
          <w:lang w:eastAsia="en-AU"/>
        </w:rPr>
        <w:t>could be</w:t>
      </w:r>
      <w:r w:rsidR="00F06819">
        <w:rPr>
          <w:lang w:eastAsia="en-AU"/>
        </w:rPr>
        <w:t xml:space="preserve"> managed by providing the means of</w:t>
      </w:r>
      <w:r w:rsidR="004211CB">
        <w:rPr>
          <w:lang w:eastAsia="en-AU"/>
        </w:rPr>
        <w:t>:</w:t>
      </w:r>
    </w:p>
    <w:p w:rsidR="004211CB" w:rsidRDefault="004211CB" w:rsidP="0055459C">
      <w:pPr>
        <w:pStyle w:val="ListParagraph"/>
        <w:numPr>
          <w:ilvl w:val="0"/>
          <w:numId w:val="26"/>
        </w:numPr>
        <w:rPr>
          <w:lang w:eastAsia="en-AU"/>
        </w:rPr>
      </w:pPr>
      <w:r>
        <w:rPr>
          <w:lang w:eastAsia="en-AU"/>
        </w:rPr>
        <w:t xml:space="preserve">consent to be </w:t>
      </w:r>
      <w:r w:rsidR="002C6661">
        <w:rPr>
          <w:lang w:eastAsia="en-AU"/>
        </w:rPr>
        <w:t>recorded</w:t>
      </w:r>
      <w:r>
        <w:rPr>
          <w:lang w:eastAsia="en-AU"/>
        </w:rPr>
        <w:t xml:space="preserve"> for use of the health record at the commencement of any </w:t>
      </w:r>
      <w:r w:rsidRPr="004211CB">
        <w:rPr>
          <w:i/>
          <w:lang w:eastAsia="en-AU"/>
        </w:rPr>
        <w:t>encounter</w:t>
      </w:r>
      <w:r>
        <w:rPr>
          <w:lang w:eastAsia="en-AU"/>
        </w:rPr>
        <w:t xml:space="preserve"> (primary care, specialist, laboratory etc) by the senior HCP and is assumed to stand for other </w:t>
      </w:r>
      <w:r w:rsidR="002C6661">
        <w:rPr>
          <w:lang w:eastAsia="en-AU"/>
        </w:rPr>
        <w:t xml:space="preserve">participating </w:t>
      </w:r>
      <w:r>
        <w:rPr>
          <w:lang w:eastAsia="en-AU"/>
        </w:rPr>
        <w:t>HCPs</w:t>
      </w:r>
      <w:r w:rsidR="002C6661">
        <w:rPr>
          <w:lang w:eastAsia="en-AU"/>
        </w:rPr>
        <w:t xml:space="preserve"> from the same HCF (e.g. family clinic) for the period of the encounter;</w:t>
      </w:r>
    </w:p>
    <w:p w:rsidR="002C6661" w:rsidRDefault="002C6661" w:rsidP="0055459C">
      <w:pPr>
        <w:pStyle w:val="ListParagraph"/>
        <w:numPr>
          <w:ilvl w:val="1"/>
          <w:numId w:val="26"/>
        </w:numPr>
        <w:rPr>
          <w:lang w:eastAsia="en-AU"/>
        </w:rPr>
      </w:pPr>
      <w:r>
        <w:rPr>
          <w:lang w:eastAsia="en-AU"/>
        </w:rPr>
        <w:t>an ‘encounter’ is assumed to be completed when the patient leaves the HCF;</w:t>
      </w:r>
    </w:p>
    <w:p w:rsidR="005F6047" w:rsidRDefault="005F6047" w:rsidP="0055459C">
      <w:pPr>
        <w:pStyle w:val="ListParagraph"/>
        <w:numPr>
          <w:ilvl w:val="1"/>
          <w:numId w:val="26"/>
        </w:numPr>
        <w:rPr>
          <w:lang w:eastAsia="en-AU"/>
        </w:rPr>
      </w:pPr>
      <w:r>
        <w:rPr>
          <w:lang w:eastAsia="en-AU"/>
        </w:rPr>
        <w:t>the consent is enabled by the patient or legal representative signing in some way;</w:t>
      </w:r>
    </w:p>
    <w:p w:rsidR="004211CB" w:rsidRDefault="004211CB" w:rsidP="0055459C">
      <w:pPr>
        <w:pStyle w:val="ListParagraph"/>
        <w:numPr>
          <w:ilvl w:val="0"/>
          <w:numId w:val="26"/>
        </w:numPr>
        <w:rPr>
          <w:lang w:eastAsia="en-AU"/>
        </w:rPr>
      </w:pPr>
      <w:r>
        <w:rPr>
          <w:lang w:eastAsia="en-AU"/>
        </w:rPr>
        <w:t xml:space="preserve">consent to be </w:t>
      </w:r>
      <w:r w:rsidR="002C6661">
        <w:rPr>
          <w:lang w:eastAsia="en-AU"/>
        </w:rPr>
        <w:t xml:space="preserve">recorded </w:t>
      </w:r>
      <w:r>
        <w:rPr>
          <w:lang w:eastAsia="en-AU"/>
        </w:rPr>
        <w:t xml:space="preserve">for use of the health record at the commencement of an </w:t>
      </w:r>
      <w:r w:rsidRPr="004211CB">
        <w:rPr>
          <w:i/>
          <w:lang w:eastAsia="en-AU"/>
        </w:rPr>
        <w:t>episode of care</w:t>
      </w:r>
      <w:r>
        <w:rPr>
          <w:lang w:eastAsia="en-AU"/>
        </w:rPr>
        <w:t xml:space="preserve"> (hospital, other long stay institution) by a responsible clinician, and is assumed to stand for all other user</w:t>
      </w:r>
      <w:r w:rsidR="002C6661">
        <w:rPr>
          <w:lang w:eastAsia="en-AU"/>
        </w:rPr>
        <w:t>s in the same institution (HCF) for the period of the episode;</w:t>
      </w:r>
    </w:p>
    <w:p w:rsidR="002C6661" w:rsidRDefault="002C6661" w:rsidP="0055459C">
      <w:pPr>
        <w:pStyle w:val="ListParagraph"/>
        <w:numPr>
          <w:ilvl w:val="1"/>
          <w:numId w:val="26"/>
        </w:numPr>
        <w:rPr>
          <w:lang w:eastAsia="en-AU"/>
        </w:rPr>
      </w:pPr>
      <w:r>
        <w:rPr>
          <w:lang w:eastAsia="en-AU"/>
        </w:rPr>
        <w:t>an ‘episode of care’ is assumed to be delimited by admission and discharge events;</w:t>
      </w:r>
    </w:p>
    <w:p w:rsidR="005F6047" w:rsidRDefault="005F6047" w:rsidP="0055459C">
      <w:pPr>
        <w:pStyle w:val="ListParagraph"/>
        <w:numPr>
          <w:ilvl w:val="1"/>
          <w:numId w:val="26"/>
        </w:numPr>
        <w:rPr>
          <w:lang w:eastAsia="en-AU"/>
        </w:rPr>
      </w:pPr>
      <w:r>
        <w:rPr>
          <w:lang w:eastAsia="en-AU"/>
        </w:rPr>
        <w:t>the consent is enabled by the patient or legal representative signing in some way;</w:t>
      </w:r>
    </w:p>
    <w:p w:rsidR="005F6047" w:rsidRDefault="005F6047" w:rsidP="0055459C">
      <w:pPr>
        <w:pStyle w:val="ListParagraph"/>
        <w:numPr>
          <w:ilvl w:val="0"/>
          <w:numId w:val="26"/>
        </w:numPr>
        <w:rPr>
          <w:lang w:eastAsia="en-AU"/>
        </w:rPr>
      </w:pPr>
      <w:r>
        <w:rPr>
          <w:lang w:eastAsia="en-AU"/>
        </w:rPr>
        <w:t>consent for emergency access to be unilaterally obt</w:t>
      </w:r>
      <w:r w:rsidR="00FE258A">
        <w:rPr>
          <w:lang w:eastAsia="en-AU"/>
        </w:rPr>
        <w:t>ained by HCPs for emergency use; in this case, the relevant HCPs need to provide reason for use, and identifying information;</w:t>
      </w:r>
    </w:p>
    <w:p w:rsidR="00F06819" w:rsidRDefault="00F06819" w:rsidP="0055459C">
      <w:pPr>
        <w:pStyle w:val="ListParagraph"/>
        <w:numPr>
          <w:ilvl w:val="0"/>
          <w:numId w:val="26"/>
        </w:numPr>
        <w:rPr>
          <w:lang w:eastAsia="en-AU"/>
        </w:rPr>
      </w:pPr>
      <w:r>
        <w:rPr>
          <w:lang w:eastAsia="en-AU"/>
        </w:rPr>
        <w:t>marking a recorded consent as being ‘closed’ due to the end of the encounter or episode – any consent not ‘closed’ is considered ‘current’;</w:t>
      </w:r>
    </w:p>
    <w:p w:rsidR="002C6661" w:rsidRDefault="00F06819" w:rsidP="0055459C">
      <w:pPr>
        <w:pStyle w:val="ListParagraph"/>
        <w:numPr>
          <w:ilvl w:val="0"/>
          <w:numId w:val="26"/>
        </w:numPr>
        <w:rPr>
          <w:lang w:eastAsia="en-AU"/>
        </w:rPr>
      </w:pPr>
      <w:r>
        <w:rPr>
          <w:lang w:eastAsia="en-AU"/>
        </w:rPr>
        <w:t>the HCF of any accessing user (i.e. HCP) to be determined, and to be used to block users not from a the HCF authorised for the current episode;</w:t>
      </w:r>
    </w:p>
    <w:p w:rsidR="00F06819" w:rsidRDefault="00F06819" w:rsidP="0055459C">
      <w:pPr>
        <w:pStyle w:val="ListParagraph"/>
        <w:numPr>
          <w:ilvl w:val="0"/>
          <w:numId w:val="26"/>
        </w:numPr>
        <w:rPr>
          <w:lang w:eastAsia="en-AU"/>
        </w:rPr>
      </w:pPr>
      <w:r>
        <w:rPr>
          <w:lang w:eastAsia="en-AU"/>
        </w:rPr>
        <w:t xml:space="preserve">using a previously recorded </w:t>
      </w:r>
      <w:r w:rsidR="00080EC2">
        <w:rPr>
          <w:lang w:eastAsia="en-AU"/>
        </w:rPr>
        <w:t xml:space="preserve">current </w:t>
      </w:r>
      <w:r>
        <w:rPr>
          <w:lang w:eastAsia="en-AU"/>
        </w:rPr>
        <w:t xml:space="preserve">consent to determine whether </w:t>
      </w:r>
      <w:r w:rsidR="00080EC2">
        <w:rPr>
          <w:lang w:eastAsia="en-AU"/>
        </w:rPr>
        <w:t xml:space="preserve">a new access request by a user X from HCF Y during </w:t>
      </w:r>
      <w:proofErr w:type="gramStart"/>
      <w:r w:rsidR="00080EC2">
        <w:rPr>
          <w:lang w:eastAsia="en-AU"/>
        </w:rPr>
        <w:t>time period</w:t>
      </w:r>
      <w:proofErr w:type="gramEnd"/>
      <w:r w:rsidR="00080EC2">
        <w:rPr>
          <w:lang w:eastAsia="en-AU"/>
        </w:rPr>
        <w:t xml:space="preserve"> T1 – T2 should be allowed.</w:t>
      </w:r>
    </w:p>
    <w:p w:rsidR="00080EC2" w:rsidRDefault="00080EC2" w:rsidP="00080EC2">
      <w:pPr>
        <w:rPr>
          <w:lang w:eastAsia="en-AU"/>
        </w:rPr>
      </w:pPr>
      <w:r>
        <w:rPr>
          <w:lang w:eastAsia="en-AU"/>
        </w:rPr>
        <w:t>This approach can be understood as a ‘claimed consent’ approach i.e. consent is claimed each time care is provided. In the simplest form, it is assumed that data access is ‘all or nothing’.</w:t>
      </w:r>
    </w:p>
    <w:p w:rsidR="00080EC2" w:rsidRDefault="00080EC2" w:rsidP="00080EC2">
      <w:pPr>
        <w:rPr>
          <w:lang w:eastAsia="en-AU"/>
        </w:rPr>
      </w:pPr>
      <w:r>
        <w:rPr>
          <w:lang w:eastAsia="en-AU"/>
        </w:rPr>
        <w:lastRenderedPageBreak/>
        <w:t>More complex schemes would try to introduce computable rules representing long-running relationships, as well as differential access to different parts of the EHR.</w:t>
      </w:r>
    </w:p>
    <w:p w:rsidR="00904155" w:rsidRDefault="00904155" w:rsidP="00904155">
      <w:pPr>
        <w:pStyle w:val="Heading3"/>
        <w:rPr>
          <w:lang w:eastAsia="en-AU"/>
        </w:rPr>
      </w:pPr>
      <w:bookmarkStart w:id="16" w:name="_Toc482103297"/>
      <w:r>
        <w:rPr>
          <w:lang w:eastAsia="en-AU"/>
        </w:rPr>
        <w:t>Care team consent model</w:t>
      </w:r>
      <w:bookmarkEnd w:id="16"/>
    </w:p>
    <w:p w:rsidR="00904155" w:rsidRDefault="00904155" w:rsidP="00904155">
      <w:pPr>
        <w:rPr>
          <w:lang w:eastAsia="en-AU"/>
        </w:rPr>
      </w:pPr>
      <w:r>
        <w:rPr>
          <w:lang w:eastAsia="en-AU"/>
        </w:rPr>
        <w:t>For some (e.g. chronic) patients it may make sense to implement a ‘care team’ model of consent, where the consent to access covers a list of named HCPs, potentially from different institutions. This kind of consent would be used to enable long-term (possibly indefinite) access by trusted long term carers to all EHR data for the patient. It would require a way of modifying the care team list (i.e. adding and deleting members).</w:t>
      </w:r>
    </w:p>
    <w:p w:rsidR="00904155" w:rsidRPr="00904155" w:rsidRDefault="00904155" w:rsidP="00904155">
      <w:pPr>
        <w:rPr>
          <w:lang w:eastAsia="en-AU"/>
        </w:rPr>
      </w:pPr>
      <w:r>
        <w:rPr>
          <w:lang w:eastAsia="en-AU"/>
        </w:rPr>
        <w:t>In this scheme, if a care team consent was present, it would be checked first by the access control system for allowing access, otherwise consent would revert to the ‘claimed consent’ model above.</w:t>
      </w:r>
    </w:p>
    <w:p w:rsidR="00080EC2" w:rsidRDefault="00BC0437" w:rsidP="0038497E">
      <w:pPr>
        <w:pStyle w:val="Heading2"/>
      </w:pPr>
      <w:bookmarkStart w:id="17" w:name="_Toc482103298"/>
      <w:r>
        <w:t>S</w:t>
      </w:r>
      <w:r w:rsidR="00080EC2">
        <w:t>econdary use</w:t>
      </w:r>
      <w:bookmarkEnd w:id="17"/>
    </w:p>
    <w:p w:rsidR="0033115A" w:rsidRDefault="0033115A" w:rsidP="0033115A">
      <w:pPr>
        <w:rPr>
          <w:lang w:eastAsia="en-AU"/>
        </w:rPr>
      </w:pPr>
      <w:r>
        <w:rPr>
          <w:lang w:eastAsia="en-AU"/>
        </w:rPr>
        <w:t>For secondary uses, the following principles can be assumed:</w:t>
      </w:r>
    </w:p>
    <w:p w:rsidR="0033115A" w:rsidRDefault="0033115A" w:rsidP="0055459C">
      <w:pPr>
        <w:pStyle w:val="ListParagraph"/>
        <w:numPr>
          <w:ilvl w:val="0"/>
          <w:numId w:val="25"/>
        </w:numPr>
        <w:rPr>
          <w:lang w:eastAsia="en-AU"/>
        </w:rPr>
      </w:pPr>
      <w:r>
        <w:rPr>
          <w:lang w:eastAsia="en-AU"/>
        </w:rPr>
        <w:t xml:space="preserve">most citizens prefer to </w:t>
      </w:r>
      <w:r w:rsidRPr="0033115A">
        <w:rPr>
          <w:i/>
          <w:lang w:eastAsia="en-AU"/>
        </w:rPr>
        <w:t>enable</w:t>
      </w:r>
      <w:r>
        <w:rPr>
          <w:lang w:eastAsia="en-AU"/>
        </w:rPr>
        <w:t xml:space="preserve"> routine public health and public research </w:t>
      </w:r>
      <w:r w:rsidR="002C6661">
        <w:rPr>
          <w:lang w:eastAsia="en-AU"/>
        </w:rPr>
        <w:t xml:space="preserve">use of their de-identified data – in some countries, this may be legally required </w:t>
      </w:r>
      <w:proofErr w:type="gramStart"/>
      <w:r w:rsidR="002C6661">
        <w:rPr>
          <w:lang w:eastAsia="en-AU"/>
        </w:rPr>
        <w:t>in order to</w:t>
      </w:r>
      <w:proofErr w:type="gramEnd"/>
      <w:r w:rsidR="002C6661">
        <w:rPr>
          <w:lang w:eastAsia="en-AU"/>
        </w:rPr>
        <w:t xml:space="preserve"> use public healthcare;</w:t>
      </w:r>
    </w:p>
    <w:p w:rsidR="0033115A" w:rsidRDefault="0033115A" w:rsidP="0055459C">
      <w:pPr>
        <w:pStyle w:val="ListParagraph"/>
        <w:numPr>
          <w:ilvl w:val="0"/>
          <w:numId w:val="25"/>
        </w:numPr>
        <w:rPr>
          <w:lang w:eastAsia="en-AU"/>
        </w:rPr>
      </w:pPr>
      <w:r>
        <w:rPr>
          <w:lang w:eastAsia="en-AU"/>
        </w:rPr>
        <w:t xml:space="preserve">most citizens prefer to </w:t>
      </w:r>
      <w:r w:rsidRPr="0033115A">
        <w:rPr>
          <w:i/>
          <w:lang w:eastAsia="en-AU"/>
        </w:rPr>
        <w:t>control</w:t>
      </w:r>
      <w:r>
        <w:rPr>
          <w:lang w:eastAsia="en-AU"/>
        </w:rPr>
        <w:t xml:space="preserve"> the use of their data for commercial secondary use, e.g. by pharmaceutical companies.</w:t>
      </w:r>
    </w:p>
    <w:p w:rsidR="00E8425C" w:rsidRDefault="00E8425C" w:rsidP="00E8425C">
      <w:pPr>
        <w:rPr>
          <w:lang w:eastAsia="en-AU"/>
        </w:rPr>
      </w:pPr>
      <w:r>
        <w:rPr>
          <w:lang w:eastAsia="en-AU"/>
        </w:rPr>
        <w:t>These considerations imply different consent approaches for public versus non-public use.</w:t>
      </w:r>
    </w:p>
    <w:p w:rsidR="0038497E" w:rsidRDefault="00BC0437" w:rsidP="0038497E">
      <w:pPr>
        <w:pStyle w:val="Heading3"/>
        <w:rPr>
          <w:lang w:eastAsia="en-AU"/>
        </w:rPr>
      </w:pPr>
      <w:bookmarkStart w:id="18" w:name="_Toc482103299"/>
      <w:r>
        <w:rPr>
          <w:lang w:eastAsia="en-AU"/>
        </w:rPr>
        <w:t>P</w:t>
      </w:r>
      <w:r w:rsidR="0038497E">
        <w:rPr>
          <w:lang w:eastAsia="en-AU"/>
        </w:rPr>
        <w:t>ublic health system</w:t>
      </w:r>
      <w:bookmarkEnd w:id="18"/>
    </w:p>
    <w:p w:rsidR="006D0911" w:rsidRDefault="0033115A" w:rsidP="006D0911">
      <w:pPr>
        <w:rPr>
          <w:lang w:eastAsia="en-AU"/>
        </w:rPr>
      </w:pPr>
      <w:r>
        <w:rPr>
          <w:lang w:eastAsia="en-AU"/>
        </w:rPr>
        <w:t xml:space="preserve"> On this basis, </w:t>
      </w:r>
      <w:r w:rsidR="00080EC2">
        <w:rPr>
          <w:lang w:eastAsia="en-AU"/>
        </w:rPr>
        <w:t>it would seem reasonable to implement the following</w:t>
      </w:r>
      <w:r w:rsidR="0038497E">
        <w:rPr>
          <w:lang w:eastAsia="en-AU"/>
        </w:rPr>
        <w:t xml:space="preserve"> within the public healthcare system context</w:t>
      </w:r>
      <w:r w:rsidR="00080EC2">
        <w:rPr>
          <w:lang w:eastAsia="en-AU"/>
        </w:rPr>
        <w:t>:</w:t>
      </w:r>
    </w:p>
    <w:p w:rsidR="00080EC2" w:rsidRDefault="00080EC2" w:rsidP="0055459C">
      <w:pPr>
        <w:pStyle w:val="ListParagraph"/>
        <w:numPr>
          <w:ilvl w:val="0"/>
          <w:numId w:val="27"/>
        </w:numPr>
        <w:rPr>
          <w:lang w:eastAsia="en-AU"/>
        </w:rPr>
      </w:pPr>
      <w:r>
        <w:rPr>
          <w:lang w:eastAsia="en-AU"/>
        </w:rPr>
        <w:t>a consent for global unlimited use of de-identified data, strictly within the public health system, possibly with consent automatica</w:t>
      </w:r>
      <w:r w:rsidR="0038497E">
        <w:rPr>
          <w:lang w:eastAsia="en-AU"/>
        </w:rPr>
        <w:t>lly created on an opt-out basis;</w:t>
      </w:r>
    </w:p>
    <w:p w:rsidR="0038497E" w:rsidRDefault="0038497E" w:rsidP="0055459C">
      <w:pPr>
        <w:pStyle w:val="ListParagraph"/>
        <w:numPr>
          <w:ilvl w:val="0"/>
          <w:numId w:val="27"/>
        </w:numPr>
        <w:rPr>
          <w:lang w:eastAsia="en-AU"/>
        </w:rPr>
      </w:pPr>
      <w:r>
        <w:rPr>
          <w:lang w:eastAsia="en-AU"/>
        </w:rPr>
        <w:t>de-identified / summarised data for public health use is computed and potentially cached in a location only accessible to authenticating public health systems.</w:t>
      </w:r>
    </w:p>
    <w:p w:rsidR="0038497E" w:rsidRDefault="00BC0437" w:rsidP="0038497E">
      <w:pPr>
        <w:pStyle w:val="Heading3"/>
        <w:rPr>
          <w:lang w:eastAsia="en-AU"/>
        </w:rPr>
      </w:pPr>
      <w:bookmarkStart w:id="19" w:name="_Toc482103300"/>
      <w:r>
        <w:rPr>
          <w:lang w:eastAsia="en-AU"/>
        </w:rPr>
        <w:t>R</w:t>
      </w:r>
      <w:r w:rsidR="0038497E">
        <w:rPr>
          <w:lang w:eastAsia="en-AU"/>
        </w:rPr>
        <w:t>esearch and commercial</w:t>
      </w:r>
      <w:bookmarkEnd w:id="19"/>
    </w:p>
    <w:p w:rsidR="0038497E" w:rsidRDefault="0038497E" w:rsidP="0038497E">
      <w:pPr>
        <w:rPr>
          <w:lang w:eastAsia="en-AU"/>
        </w:rPr>
      </w:pPr>
      <w:r>
        <w:rPr>
          <w:lang w:eastAsia="en-AU"/>
        </w:rPr>
        <w:t xml:space="preserve">For most other secondary uses it is assumed that a </w:t>
      </w:r>
      <w:proofErr w:type="gramStart"/>
      <w:r>
        <w:rPr>
          <w:lang w:eastAsia="en-AU"/>
        </w:rPr>
        <w:t>particular organisation</w:t>
      </w:r>
      <w:proofErr w:type="gramEnd"/>
      <w:r>
        <w:rPr>
          <w:lang w:eastAsia="en-AU"/>
        </w:rPr>
        <w:t xml:space="preserve"> (i.e. institution, company etc), and usually a ‘study’ (e.g. clinical trial) is implicated in which de-identified or pseudonymised data are requested. </w:t>
      </w:r>
      <w:proofErr w:type="gramStart"/>
      <w:r>
        <w:rPr>
          <w:lang w:eastAsia="en-AU"/>
        </w:rPr>
        <w:t>Accordingly</w:t>
      </w:r>
      <w:proofErr w:type="gramEnd"/>
      <w:r>
        <w:rPr>
          <w:lang w:eastAsia="en-AU"/>
        </w:rPr>
        <w:t xml:space="preserve"> such requests for use should be represented by a separate kind of consent designed for ‘non-public health use’. In this case, the consent should describe the specifics, i.e.</w:t>
      </w:r>
    </w:p>
    <w:p w:rsidR="0038497E" w:rsidRDefault="0038497E" w:rsidP="0055459C">
      <w:pPr>
        <w:pStyle w:val="ListParagraph"/>
        <w:numPr>
          <w:ilvl w:val="0"/>
          <w:numId w:val="28"/>
        </w:numPr>
        <w:rPr>
          <w:lang w:eastAsia="en-AU"/>
        </w:rPr>
      </w:pPr>
      <w:r>
        <w:rPr>
          <w:lang w:eastAsia="en-AU"/>
        </w:rPr>
        <w:t>Which institution;</w:t>
      </w:r>
    </w:p>
    <w:p w:rsidR="0038497E" w:rsidRDefault="0038497E" w:rsidP="0055459C">
      <w:pPr>
        <w:pStyle w:val="ListParagraph"/>
        <w:numPr>
          <w:ilvl w:val="0"/>
          <w:numId w:val="28"/>
        </w:numPr>
        <w:rPr>
          <w:lang w:eastAsia="en-AU"/>
        </w:rPr>
      </w:pPr>
      <w:r>
        <w:rPr>
          <w:lang w:eastAsia="en-AU"/>
        </w:rPr>
        <w:t>What data are requested;</w:t>
      </w:r>
    </w:p>
    <w:p w:rsidR="0038497E" w:rsidRDefault="0038497E" w:rsidP="0055459C">
      <w:pPr>
        <w:pStyle w:val="ListParagraph"/>
        <w:numPr>
          <w:ilvl w:val="0"/>
          <w:numId w:val="28"/>
        </w:numPr>
        <w:rPr>
          <w:lang w:eastAsia="en-AU"/>
        </w:rPr>
      </w:pPr>
      <w:r>
        <w:rPr>
          <w:lang w:eastAsia="en-AU"/>
        </w:rPr>
        <w:t>For what purpose – study etc;</w:t>
      </w:r>
    </w:p>
    <w:p w:rsidR="0038497E" w:rsidRDefault="0038497E" w:rsidP="0055459C">
      <w:pPr>
        <w:pStyle w:val="ListParagraph"/>
        <w:numPr>
          <w:ilvl w:val="0"/>
          <w:numId w:val="28"/>
        </w:numPr>
        <w:rPr>
          <w:lang w:eastAsia="en-AU"/>
        </w:rPr>
      </w:pPr>
      <w:proofErr w:type="gramStart"/>
      <w:r>
        <w:rPr>
          <w:lang w:eastAsia="en-AU"/>
        </w:rPr>
        <w:t>Time period</w:t>
      </w:r>
      <w:proofErr w:type="gramEnd"/>
      <w:r>
        <w:rPr>
          <w:lang w:eastAsia="en-AU"/>
        </w:rPr>
        <w:t>;</w:t>
      </w:r>
    </w:p>
    <w:p w:rsidR="0038497E" w:rsidRDefault="0038497E" w:rsidP="0055459C">
      <w:pPr>
        <w:pStyle w:val="ListParagraph"/>
        <w:numPr>
          <w:ilvl w:val="0"/>
          <w:numId w:val="28"/>
        </w:numPr>
        <w:rPr>
          <w:lang w:eastAsia="en-AU"/>
        </w:rPr>
      </w:pPr>
      <w:r>
        <w:rPr>
          <w:lang w:eastAsia="en-AU"/>
        </w:rPr>
        <w:t>Commercial gain;</w:t>
      </w:r>
    </w:p>
    <w:p w:rsidR="0038497E" w:rsidRDefault="0038497E" w:rsidP="0055459C">
      <w:pPr>
        <w:pStyle w:val="ListParagraph"/>
        <w:numPr>
          <w:ilvl w:val="0"/>
          <w:numId w:val="28"/>
        </w:numPr>
        <w:rPr>
          <w:lang w:eastAsia="en-AU"/>
        </w:rPr>
      </w:pPr>
      <w:r>
        <w:rPr>
          <w:lang w:eastAsia="en-AU"/>
        </w:rPr>
        <w:t>Ultimate beneficiaries.</w:t>
      </w:r>
    </w:p>
    <w:p w:rsidR="008C562F" w:rsidRDefault="0038497E" w:rsidP="000F22A4">
      <w:pPr>
        <w:rPr>
          <w:lang w:eastAsia="en-AU"/>
        </w:rPr>
      </w:pPr>
      <w:r>
        <w:rPr>
          <w:lang w:eastAsia="en-AU"/>
        </w:rPr>
        <w:lastRenderedPageBreak/>
        <w:t>A legal document should potentially also be included which obliges the requesting institution to remove all data</w:t>
      </w:r>
      <w:r w:rsidR="005C14BD">
        <w:rPr>
          <w:lang w:eastAsia="en-AU"/>
        </w:rPr>
        <w:t xml:space="preserve"> once the use has expired.</w:t>
      </w:r>
    </w:p>
    <w:p w:rsidR="00DC7452" w:rsidRDefault="00DC7452" w:rsidP="00BE3E79">
      <w:pPr>
        <w:pStyle w:val="Heading1"/>
      </w:pPr>
      <w:bookmarkStart w:id="20" w:name="_Toc482103313"/>
      <w:r>
        <w:lastRenderedPageBreak/>
        <w:t>Consent service design</w:t>
      </w:r>
      <w:bookmarkEnd w:id="20"/>
    </w:p>
    <w:p w:rsidR="00622BC8" w:rsidRPr="00622BC8" w:rsidRDefault="00622BC8" w:rsidP="00622BC8">
      <w:pPr>
        <w:rPr>
          <w:lang w:eastAsia="en-AU"/>
        </w:rPr>
      </w:pPr>
      <w:r>
        <w:rPr>
          <w:lang w:eastAsia="en-AU"/>
        </w:rPr>
        <w:t>Possible service functions:</w:t>
      </w:r>
    </w:p>
    <w:p w:rsidR="00DC7452" w:rsidRDefault="00E163EF" w:rsidP="0055459C">
      <w:pPr>
        <w:pStyle w:val="ListParagraph"/>
        <w:numPr>
          <w:ilvl w:val="0"/>
          <w:numId w:val="33"/>
        </w:numPr>
        <w:rPr>
          <w:lang w:eastAsia="en-AU"/>
        </w:rPr>
      </w:pPr>
      <w:r>
        <w:rPr>
          <w:lang w:eastAsia="en-AU"/>
        </w:rPr>
        <w:t>View consents (with various filters)</w:t>
      </w:r>
    </w:p>
    <w:p w:rsidR="00DC7452" w:rsidRDefault="00E163EF" w:rsidP="0055459C">
      <w:pPr>
        <w:pStyle w:val="ListParagraph"/>
        <w:numPr>
          <w:ilvl w:val="0"/>
          <w:numId w:val="33"/>
        </w:numPr>
        <w:rPr>
          <w:lang w:eastAsia="en-AU"/>
        </w:rPr>
      </w:pPr>
      <w:r>
        <w:rPr>
          <w:lang w:eastAsia="en-AU"/>
        </w:rPr>
        <w:t>Create a consent (</w:t>
      </w:r>
      <w:r w:rsidR="00622BC8">
        <w:rPr>
          <w:lang w:eastAsia="en-AU"/>
        </w:rPr>
        <w:t xml:space="preserve">type, </w:t>
      </w:r>
      <w:r>
        <w:rPr>
          <w:lang w:eastAsia="en-AU"/>
        </w:rPr>
        <w:t>HCF, HCP</w:t>
      </w:r>
      <w:r w:rsidR="00622BC8">
        <w:rPr>
          <w:lang w:eastAsia="en-AU"/>
        </w:rPr>
        <w:t>(s)</w:t>
      </w:r>
      <w:r>
        <w:rPr>
          <w:lang w:eastAsia="en-AU"/>
        </w:rPr>
        <w:t>, patient, time, content types, …)</w:t>
      </w:r>
    </w:p>
    <w:p w:rsidR="00622BC8" w:rsidRDefault="00E163EF" w:rsidP="0055459C">
      <w:pPr>
        <w:pStyle w:val="ListParagraph"/>
        <w:numPr>
          <w:ilvl w:val="0"/>
          <w:numId w:val="33"/>
        </w:numPr>
        <w:rPr>
          <w:lang w:eastAsia="en-AU"/>
        </w:rPr>
      </w:pPr>
      <w:r>
        <w:rPr>
          <w:lang w:eastAsia="en-AU"/>
        </w:rPr>
        <w:t>Revoke a consent (id)</w:t>
      </w:r>
    </w:p>
    <w:p w:rsidR="00E163EF" w:rsidRDefault="00E163EF" w:rsidP="0055459C">
      <w:pPr>
        <w:pStyle w:val="ListParagraph"/>
        <w:numPr>
          <w:ilvl w:val="0"/>
          <w:numId w:val="33"/>
        </w:numPr>
        <w:rPr>
          <w:lang w:eastAsia="en-AU"/>
        </w:rPr>
      </w:pPr>
      <w:r>
        <w:rPr>
          <w:lang w:eastAsia="en-AU"/>
        </w:rPr>
        <w:t>Add an HCP to a consent</w:t>
      </w:r>
    </w:p>
    <w:p w:rsidR="00D301D9" w:rsidRDefault="00D301D9" w:rsidP="00BE3E79">
      <w:pPr>
        <w:pStyle w:val="Heading2"/>
      </w:pPr>
      <w:r>
        <w:t>Consent Update Model</w:t>
      </w:r>
    </w:p>
    <w:p w:rsidR="00D301D9" w:rsidRDefault="00BE515D" w:rsidP="00D301D9">
      <w:pPr>
        <w:rPr>
          <w:lang w:eastAsia="en-AU"/>
        </w:rPr>
      </w:pPr>
      <w:r>
        <w:rPr>
          <w:lang w:eastAsia="en-AU"/>
        </w:rPr>
        <w:t xml:space="preserve">Consent settings will in general change over time, and it is crucial to have model of consent that accommodates the idea of updates to current consents, including </w:t>
      </w:r>
      <w:r w:rsidR="00D90DE5">
        <w:rPr>
          <w:lang w:eastAsia="en-AU"/>
        </w:rPr>
        <w:t xml:space="preserve">various kinds of changes, additions and deletions. The information model of consents must therefore be based on enabling updates to be integrated </w:t>
      </w:r>
      <w:proofErr w:type="gramStart"/>
      <w:r w:rsidR="00D90DE5">
        <w:rPr>
          <w:lang w:eastAsia="en-AU"/>
        </w:rPr>
        <w:t>in order to</w:t>
      </w:r>
      <w:proofErr w:type="gramEnd"/>
      <w:r w:rsidR="00D90DE5">
        <w:rPr>
          <w:lang w:eastAsia="en-AU"/>
        </w:rPr>
        <w:t xml:space="preserve"> form each new ‘state’ of the consent data, that remains coherent.</w:t>
      </w:r>
    </w:p>
    <w:p w:rsidR="00D90DE5" w:rsidRPr="00D90DE5" w:rsidRDefault="00D90DE5" w:rsidP="00D90DE5">
      <w:pPr>
        <w:rPr>
          <w:lang w:eastAsia="en-AU"/>
        </w:rPr>
      </w:pPr>
      <w:r>
        <w:rPr>
          <w:lang w:eastAsia="en-AU"/>
        </w:rPr>
        <w:t>TBD: more</w:t>
      </w:r>
    </w:p>
    <w:p w:rsidR="00D301D9" w:rsidRDefault="00D301D9" w:rsidP="00BE3E79">
      <w:pPr>
        <w:pStyle w:val="Heading2"/>
      </w:pPr>
      <w:r>
        <w:t>Consent Consistency</w:t>
      </w:r>
    </w:p>
    <w:p w:rsidR="00D90DE5" w:rsidRDefault="00D90DE5" w:rsidP="00D90DE5">
      <w:pPr>
        <w:rPr>
          <w:lang w:eastAsia="en-AU"/>
        </w:rPr>
      </w:pPr>
      <w:r>
        <w:rPr>
          <w:lang w:eastAsia="en-AU"/>
        </w:rPr>
        <w:t>Related to the above, it is essential that the full set of consent information for a subject be internally coherent and consistent. That means that each change that is applied must result in a new consistent state. Some formal rules are required to ensure this.</w:t>
      </w:r>
    </w:p>
    <w:p w:rsidR="00D90DE5" w:rsidRPr="00D90DE5" w:rsidRDefault="00D90DE5" w:rsidP="00D90DE5">
      <w:pPr>
        <w:rPr>
          <w:lang w:eastAsia="en-AU"/>
        </w:rPr>
      </w:pPr>
      <w:r>
        <w:rPr>
          <w:lang w:eastAsia="en-AU"/>
        </w:rPr>
        <w:t>TBD: more</w:t>
      </w:r>
    </w:p>
    <w:p w:rsidR="00D90DE5" w:rsidRDefault="00D90DE5" w:rsidP="00BE3E79">
      <w:pPr>
        <w:pStyle w:val="Heading1"/>
      </w:pPr>
      <w:bookmarkStart w:id="21" w:name="_Toc482103308"/>
      <w:r>
        <w:lastRenderedPageBreak/>
        <w:t>Consent Information Model</w:t>
      </w:r>
      <w:bookmarkEnd w:id="21"/>
    </w:p>
    <w:p w:rsidR="00D90DE5" w:rsidRDefault="00D90DE5" w:rsidP="00D90DE5">
      <w:pPr>
        <w:rPr>
          <w:lang w:eastAsia="en-AU"/>
        </w:rPr>
      </w:pPr>
      <w:r>
        <w:rPr>
          <w:lang w:eastAsia="en-AU"/>
        </w:rPr>
        <w:t>An information model of consent includes various parts. The general concept is that a ‘consent’ is a structured document containing human-readable text, signatures and potentially various computable elements, such as identifiers of HCPs, time-limits etc.</w:t>
      </w:r>
    </w:p>
    <w:p w:rsidR="00D90DE5" w:rsidRDefault="00D90DE5" w:rsidP="00D90DE5">
      <w:pPr>
        <w:rPr>
          <w:lang w:eastAsia="en-AU"/>
        </w:rPr>
      </w:pPr>
      <w:r>
        <w:rPr>
          <w:lang w:eastAsia="en-AU"/>
        </w:rPr>
        <w:t>According to the discussion so far, the following separate consent document types might be defined. The following sections provide only suggestions and do not constitute a considered design.</w:t>
      </w:r>
    </w:p>
    <w:p w:rsidR="00D90DE5" w:rsidRDefault="00D90DE5" w:rsidP="00BE3E79">
      <w:pPr>
        <w:pStyle w:val="Heading2"/>
      </w:pPr>
      <w:bookmarkStart w:id="22" w:name="_Toc482103309"/>
      <w:r>
        <w:t>Consent for Access and sharing of health data for Care provision</w:t>
      </w:r>
      <w:bookmarkEnd w:id="22"/>
    </w:p>
    <w:p w:rsidR="00D90DE5" w:rsidRDefault="00D90DE5" w:rsidP="00D90DE5">
      <w:pPr>
        <w:rPr>
          <w:lang w:eastAsia="en-AU"/>
        </w:rPr>
      </w:pPr>
      <w:r>
        <w:rPr>
          <w:lang w:eastAsia="en-AU"/>
        </w:rPr>
        <w:t>The core information structure might be designed as follows:</w:t>
      </w:r>
    </w:p>
    <w:p w:rsidR="00D90DE5" w:rsidRDefault="00D90DE5" w:rsidP="00D90DE5">
      <w:pPr>
        <w:pStyle w:val="ListParagraph"/>
        <w:numPr>
          <w:ilvl w:val="0"/>
          <w:numId w:val="32"/>
        </w:numPr>
        <w:rPr>
          <w:lang w:eastAsia="en-AU"/>
        </w:rPr>
      </w:pPr>
      <w:r>
        <w:rPr>
          <w:lang w:eastAsia="en-AU"/>
        </w:rPr>
        <w:t>Identifier</w:t>
      </w:r>
    </w:p>
    <w:p w:rsidR="00D90DE5" w:rsidRDefault="00D90DE5" w:rsidP="00D90DE5">
      <w:pPr>
        <w:pStyle w:val="ListParagraph"/>
        <w:numPr>
          <w:ilvl w:val="0"/>
          <w:numId w:val="32"/>
        </w:numPr>
        <w:rPr>
          <w:lang w:eastAsia="en-AU"/>
        </w:rPr>
      </w:pPr>
      <w:r>
        <w:rPr>
          <w:lang w:eastAsia="en-AU"/>
        </w:rPr>
        <w:t>Title:</w:t>
      </w:r>
    </w:p>
    <w:p w:rsidR="00D90DE5" w:rsidRDefault="00D90DE5" w:rsidP="00D90DE5">
      <w:pPr>
        <w:pStyle w:val="ListParagraph"/>
        <w:numPr>
          <w:ilvl w:val="1"/>
          <w:numId w:val="32"/>
        </w:numPr>
        <w:rPr>
          <w:lang w:eastAsia="en-AU"/>
        </w:rPr>
      </w:pPr>
      <w:r>
        <w:rPr>
          <w:lang w:eastAsia="en-AU"/>
        </w:rPr>
        <w:t>Consent for health data use by &lt;HCF&gt;</w:t>
      </w:r>
    </w:p>
    <w:p w:rsidR="00D90DE5" w:rsidRDefault="00D90DE5" w:rsidP="00D90DE5">
      <w:pPr>
        <w:pStyle w:val="ListParagraph"/>
        <w:numPr>
          <w:ilvl w:val="0"/>
          <w:numId w:val="32"/>
        </w:numPr>
        <w:rPr>
          <w:lang w:eastAsia="en-AU"/>
        </w:rPr>
      </w:pPr>
      <w:r>
        <w:rPr>
          <w:lang w:eastAsia="en-AU"/>
        </w:rPr>
        <w:t>Subject:</w:t>
      </w:r>
    </w:p>
    <w:p w:rsidR="00D90DE5" w:rsidRDefault="00D90DE5" w:rsidP="00D90DE5">
      <w:pPr>
        <w:pStyle w:val="ListParagraph"/>
        <w:numPr>
          <w:ilvl w:val="1"/>
          <w:numId w:val="32"/>
        </w:numPr>
        <w:rPr>
          <w:lang w:eastAsia="en-AU"/>
        </w:rPr>
      </w:pPr>
      <w:r>
        <w:rPr>
          <w:lang w:eastAsia="en-AU"/>
        </w:rPr>
        <w:t>Name</w:t>
      </w:r>
    </w:p>
    <w:p w:rsidR="00D90DE5" w:rsidRDefault="00D90DE5" w:rsidP="00D90DE5">
      <w:pPr>
        <w:pStyle w:val="ListParagraph"/>
        <w:numPr>
          <w:ilvl w:val="1"/>
          <w:numId w:val="32"/>
        </w:numPr>
        <w:rPr>
          <w:lang w:eastAsia="en-AU"/>
        </w:rPr>
      </w:pPr>
      <w:r>
        <w:rPr>
          <w:lang w:eastAsia="en-AU"/>
        </w:rPr>
        <w:t>Identifying information</w:t>
      </w:r>
    </w:p>
    <w:p w:rsidR="00D90DE5" w:rsidRDefault="00D90DE5" w:rsidP="00D90DE5">
      <w:pPr>
        <w:pStyle w:val="ListParagraph"/>
        <w:numPr>
          <w:ilvl w:val="1"/>
          <w:numId w:val="32"/>
        </w:numPr>
        <w:rPr>
          <w:lang w:eastAsia="en-AU"/>
        </w:rPr>
      </w:pPr>
      <w:r>
        <w:rPr>
          <w:lang w:eastAsia="en-AU"/>
        </w:rPr>
        <w:t>etc</w:t>
      </w:r>
    </w:p>
    <w:p w:rsidR="00D90DE5" w:rsidRDefault="00D90DE5" w:rsidP="00D90DE5">
      <w:pPr>
        <w:pStyle w:val="ListParagraph"/>
        <w:numPr>
          <w:ilvl w:val="0"/>
          <w:numId w:val="32"/>
        </w:numPr>
        <w:rPr>
          <w:lang w:eastAsia="en-AU"/>
        </w:rPr>
      </w:pPr>
      <w:r>
        <w:rPr>
          <w:lang w:eastAsia="en-AU"/>
        </w:rPr>
        <w:t>Assigned to Healthcare Facility (HCF)</w:t>
      </w:r>
    </w:p>
    <w:p w:rsidR="00D90DE5" w:rsidRDefault="00D90DE5" w:rsidP="00D90DE5">
      <w:pPr>
        <w:pStyle w:val="ListParagraph"/>
        <w:numPr>
          <w:ilvl w:val="1"/>
          <w:numId w:val="32"/>
        </w:numPr>
        <w:rPr>
          <w:lang w:eastAsia="en-AU"/>
        </w:rPr>
      </w:pPr>
      <w:r>
        <w:rPr>
          <w:lang w:eastAsia="en-AU"/>
        </w:rPr>
        <w:t>Facility name</w:t>
      </w:r>
    </w:p>
    <w:p w:rsidR="00D90DE5" w:rsidRDefault="00D90DE5" w:rsidP="00D90DE5">
      <w:pPr>
        <w:pStyle w:val="ListParagraph"/>
        <w:numPr>
          <w:ilvl w:val="1"/>
          <w:numId w:val="32"/>
        </w:numPr>
        <w:rPr>
          <w:lang w:eastAsia="en-AU"/>
        </w:rPr>
      </w:pPr>
      <w:r>
        <w:rPr>
          <w:lang w:eastAsia="en-AU"/>
        </w:rPr>
        <w:t>National health provide identifier</w:t>
      </w:r>
    </w:p>
    <w:p w:rsidR="00D90DE5" w:rsidRDefault="00D90DE5" w:rsidP="00D90DE5">
      <w:pPr>
        <w:pStyle w:val="ListParagraph"/>
        <w:numPr>
          <w:ilvl w:val="0"/>
          <w:numId w:val="32"/>
        </w:numPr>
        <w:rPr>
          <w:lang w:eastAsia="en-AU"/>
        </w:rPr>
      </w:pPr>
      <w:r>
        <w:rPr>
          <w:lang w:eastAsia="en-AU"/>
        </w:rPr>
        <w:t>Description:</w:t>
      </w:r>
    </w:p>
    <w:p w:rsidR="00D90DE5" w:rsidRDefault="00D90DE5" w:rsidP="00D90DE5">
      <w:pPr>
        <w:pStyle w:val="ListParagraph"/>
        <w:numPr>
          <w:ilvl w:val="1"/>
          <w:numId w:val="32"/>
        </w:numPr>
        <w:rPr>
          <w:lang w:eastAsia="en-AU"/>
        </w:rPr>
      </w:pPr>
      <w:r>
        <w:rPr>
          <w:lang w:eastAsia="en-AU"/>
        </w:rPr>
        <w:t>E.g. this consent covers use of health data for care provision purposes.</w:t>
      </w:r>
    </w:p>
    <w:p w:rsidR="00D90DE5" w:rsidRDefault="00D90DE5" w:rsidP="00D90DE5">
      <w:pPr>
        <w:pStyle w:val="ListParagraph"/>
        <w:numPr>
          <w:ilvl w:val="0"/>
          <w:numId w:val="32"/>
        </w:numPr>
        <w:rPr>
          <w:lang w:eastAsia="en-AU"/>
        </w:rPr>
      </w:pPr>
      <w:r>
        <w:rPr>
          <w:lang w:eastAsia="en-AU"/>
        </w:rPr>
        <w:t>Rights granted</w:t>
      </w:r>
    </w:p>
    <w:p w:rsidR="00D90DE5" w:rsidRDefault="00D90DE5" w:rsidP="00D90DE5">
      <w:pPr>
        <w:pStyle w:val="ListParagraph"/>
        <w:numPr>
          <w:ilvl w:val="1"/>
          <w:numId w:val="32"/>
        </w:numPr>
        <w:rPr>
          <w:lang w:eastAsia="en-AU"/>
        </w:rPr>
      </w:pPr>
      <w:r>
        <w:rPr>
          <w:lang w:eastAsia="en-AU"/>
        </w:rPr>
        <w:t>Access to identified health data held by HCF during care provision period by HCF clinical personnel</w:t>
      </w:r>
    </w:p>
    <w:p w:rsidR="00D90DE5" w:rsidRDefault="00D90DE5" w:rsidP="00D90DE5">
      <w:pPr>
        <w:pStyle w:val="ListParagraph"/>
        <w:numPr>
          <w:ilvl w:val="1"/>
          <w:numId w:val="32"/>
        </w:numPr>
        <w:rPr>
          <w:lang w:eastAsia="en-AU"/>
        </w:rPr>
      </w:pPr>
      <w:r>
        <w:rPr>
          <w:lang w:eastAsia="en-AU"/>
        </w:rPr>
        <w:t>Right to transmit and receive health data to and from identified data partners for clinical purposes</w:t>
      </w:r>
    </w:p>
    <w:p w:rsidR="00D90DE5" w:rsidRDefault="00D90DE5" w:rsidP="00D90DE5">
      <w:pPr>
        <w:pStyle w:val="ListParagraph"/>
        <w:numPr>
          <w:ilvl w:val="1"/>
          <w:numId w:val="32"/>
        </w:numPr>
        <w:rPr>
          <w:lang w:eastAsia="en-AU"/>
        </w:rPr>
      </w:pPr>
      <w:r>
        <w:rPr>
          <w:lang w:eastAsia="en-AU"/>
        </w:rPr>
        <w:t>Issuing recalls / reminders</w:t>
      </w:r>
    </w:p>
    <w:p w:rsidR="00D90DE5" w:rsidRDefault="00D90DE5" w:rsidP="00D90DE5">
      <w:pPr>
        <w:pStyle w:val="ListParagraph"/>
        <w:numPr>
          <w:ilvl w:val="1"/>
          <w:numId w:val="32"/>
        </w:numPr>
        <w:rPr>
          <w:lang w:eastAsia="en-AU"/>
        </w:rPr>
      </w:pPr>
      <w:r>
        <w:rPr>
          <w:lang w:eastAsia="en-AU"/>
        </w:rPr>
        <w:t>Outpatient use …</w:t>
      </w:r>
    </w:p>
    <w:p w:rsidR="00D90DE5" w:rsidRDefault="00D90DE5" w:rsidP="00D90DE5">
      <w:pPr>
        <w:pStyle w:val="ListParagraph"/>
        <w:numPr>
          <w:ilvl w:val="1"/>
          <w:numId w:val="32"/>
        </w:numPr>
        <w:rPr>
          <w:lang w:eastAsia="en-AU"/>
        </w:rPr>
      </w:pPr>
      <w:r>
        <w:rPr>
          <w:lang w:eastAsia="en-AU"/>
        </w:rPr>
        <w:t>etc</w:t>
      </w:r>
    </w:p>
    <w:p w:rsidR="00D90DE5" w:rsidRDefault="00D90DE5" w:rsidP="00D90DE5">
      <w:pPr>
        <w:pStyle w:val="ListParagraph"/>
        <w:numPr>
          <w:ilvl w:val="0"/>
          <w:numId w:val="32"/>
        </w:numPr>
        <w:rPr>
          <w:lang w:eastAsia="en-AU"/>
        </w:rPr>
      </w:pPr>
      <w:r>
        <w:rPr>
          <w:lang w:eastAsia="en-AU"/>
        </w:rPr>
        <w:t>Consents (list)</w:t>
      </w:r>
    </w:p>
    <w:p w:rsidR="00D90DE5" w:rsidRDefault="00D90DE5" w:rsidP="00D90DE5">
      <w:pPr>
        <w:pStyle w:val="ListParagraph"/>
        <w:numPr>
          <w:ilvl w:val="1"/>
          <w:numId w:val="32"/>
        </w:numPr>
        <w:rPr>
          <w:lang w:eastAsia="en-AU"/>
        </w:rPr>
      </w:pPr>
      <w:r>
        <w:rPr>
          <w:lang w:eastAsia="en-AU"/>
        </w:rPr>
        <w:t>HCF Consent</w:t>
      </w:r>
    </w:p>
    <w:p w:rsidR="00D90DE5" w:rsidRDefault="00D90DE5" w:rsidP="00D90DE5">
      <w:pPr>
        <w:pStyle w:val="ListParagraph"/>
        <w:numPr>
          <w:ilvl w:val="2"/>
          <w:numId w:val="32"/>
        </w:numPr>
        <w:rPr>
          <w:lang w:eastAsia="en-AU"/>
        </w:rPr>
      </w:pPr>
      <w:r>
        <w:rPr>
          <w:lang w:eastAsia="en-AU"/>
        </w:rPr>
        <w:t xml:space="preserve">{id = patient id + HCF id </w:t>
      </w:r>
      <w:proofErr w:type="gramStart"/>
      <w:r>
        <w:rPr>
          <w:lang w:eastAsia="en-AU"/>
        </w:rPr>
        <w:t>+ ???</w:t>
      </w:r>
      <w:proofErr w:type="gramEnd"/>
      <w:r>
        <w:rPr>
          <w:lang w:eastAsia="en-AU"/>
        </w:rPr>
        <w:t xml:space="preserve"> // needed to match revocations}</w:t>
      </w:r>
    </w:p>
    <w:p w:rsidR="00D90DE5" w:rsidRPr="0026497B" w:rsidRDefault="00D90DE5" w:rsidP="00D90DE5">
      <w:pPr>
        <w:pStyle w:val="ListParagraph"/>
        <w:numPr>
          <w:ilvl w:val="2"/>
          <w:numId w:val="32"/>
        </w:numPr>
        <w:rPr>
          <w:color w:val="984806" w:themeColor="accent6" w:themeShade="80"/>
          <w:lang w:eastAsia="en-AU"/>
        </w:rPr>
      </w:pPr>
      <w:r w:rsidRPr="0026497B">
        <w:rPr>
          <w:color w:val="984806" w:themeColor="accent6" w:themeShade="80"/>
          <w:lang w:eastAsia="en-AU"/>
        </w:rPr>
        <w:t xml:space="preserve">Content </w:t>
      </w:r>
      <w:r>
        <w:rPr>
          <w:color w:val="984806" w:themeColor="accent6" w:themeShade="80"/>
          <w:lang w:eastAsia="en-AU"/>
        </w:rPr>
        <w:t>specification</w:t>
      </w:r>
    </w:p>
    <w:p w:rsidR="00D90DE5" w:rsidRPr="0026497B" w:rsidRDefault="00D90DE5" w:rsidP="00D90DE5">
      <w:pPr>
        <w:pStyle w:val="ListParagraph"/>
        <w:numPr>
          <w:ilvl w:val="3"/>
          <w:numId w:val="32"/>
        </w:numPr>
        <w:rPr>
          <w:color w:val="984806" w:themeColor="accent6" w:themeShade="80"/>
          <w:lang w:eastAsia="en-AU"/>
        </w:rPr>
      </w:pPr>
      <w:r w:rsidRPr="0026497B">
        <w:rPr>
          <w:color w:val="984806" w:themeColor="accent6" w:themeShade="80"/>
          <w:lang w:eastAsia="en-AU"/>
        </w:rPr>
        <w:t xml:space="preserve">Confidentiality level </w:t>
      </w:r>
    </w:p>
    <w:p w:rsidR="00D90DE5" w:rsidRDefault="00D90DE5" w:rsidP="00D90DE5">
      <w:pPr>
        <w:pStyle w:val="ListParagraph"/>
        <w:numPr>
          <w:ilvl w:val="3"/>
          <w:numId w:val="32"/>
        </w:numPr>
        <w:rPr>
          <w:color w:val="984806" w:themeColor="accent6" w:themeShade="80"/>
          <w:lang w:val="fr-FR" w:eastAsia="en-AU"/>
        </w:rPr>
      </w:pPr>
      <w:proofErr w:type="spellStart"/>
      <w:r>
        <w:rPr>
          <w:color w:val="984806" w:themeColor="accent6" w:themeShade="80"/>
          <w:lang w:val="fr-FR" w:eastAsia="en-AU"/>
        </w:rPr>
        <w:t>Clinical</w:t>
      </w:r>
      <w:proofErr w:type="spellEnd"/>
      <w:r>
        <w:rPr>
          <w:color w:val="984806" w:themeColor="accent6" w:themeShade="80"/>
          <w:lang w:val="fr-FR" w:eastAsia="en-AU"/>
        </w:rPr>
        <w:t xml:space="preserve"> time range of data</w:t>
      </w:r>
    </w:p>
    <w:p w:rsidR="00D90DE5" w:rsidRPr="002742BF" w:rsidRDefault="00D90DE5" w:rsidP="00D90DE5">
      <w:pPr>
        <w:pStyle w:val="ListParagraph"/>
        <w:numPr>
          <w:ilvl w:val="3"/>
          <w:numId w:val="32"/>
        </w:numPr>
        <w:rPr>
          <w:color w:val="984806" w:themeColor="accent6" w:themeShade="80"/>
          <w:lang w:val="fr-FR" w:eastAsia="en-AU"/>
        </w:rPr>
      </w:pPr>
      <w:proofErr w:type="gramStart"/>
      <w:r w:rsidRPr="0026497B">
        <w:rPr>
          <w:color w:val="984806" w:themeColor="accent6" w:themeShade="80"/>
          <w:lang w:val="fr-FR" w:eastAsia="en-AU"/>
        </w:rPr>
        <w:t>Etc..</w:t>
      </w:r>
      <w:proofErr w:type="gramEnd"/>
      <w:r w:rsidRPr="0026497B">
        <w:rPr>
          <w:color w:val="984806" w:themeColor="accent6" w:themeShade="80"/>
          <w:lang w:val="fr-FR" w:eastAsia="en-AU"/>
        </w:rPr>
        <w:t xml:space="preserve"> e.g. </w:t>
      </w:r>
      <w:proofErr w:type="spellStart"/>
      <w:r w:rsidRPr="0026497B">
        <w:rPr>
          <w:color w:val="984806" w:themeColor="accent6" w:themeShade="80"/>
          <w:lang w:val="fr-FR" w:eastAsia="en-AU"/>
        </w:rPr>
        <w:t>particular</w:t>
      </w:r>
      <w:proofErr w:type="spellEnd"/>
      <w:r w:rsidRPr="0026497B">
        <w:rPr>
          <w:color w:val="984806" w:themeColor="accent6" w:themeShade="80"/>
          <w:lang w:val="fr-FR" w:eastAsia="en-AU"/>
        </w:rPr>
        <w:t xml:space="preserve"> </w:t>
      </w:r>
      <w:proofErr w:type="spellStart"/>
      <w:r w:rsidRPr="0026497B">
        <w:rPr>
          <w:color w:val="984806" w:themeColor="accent6" w:themeShade="80"/>
          <w:lang w:val="fr-FR" w:eastAsia="en-AU"/>
        </w:rPr>
        <w:t>queries</w:t>
      </w:r>
      <w:proofErr w:type="spellEnd"/>
      <w:r w:rsidRPr="0026497B">
        <w:rPr>
          <w:color w:val="984806" w:themeColor="accent6" w:themeShade="80"/>
          <w:lang w:val="fr-FR" w:eastAsia="en-AU"/>
        </w:rPr>
        <w:t xml:space="preserve"> </w:t>
      </w:r>
      <w:proofErr w:type="gramStart"/>
      <w:r w:rsidRPr="0026497B">
        <w:rPr>
          <w:color w:val="984806" w:themeColor="accent6" w:themeShade="80"/>
          <w:lang w:val="fr-FR" w:eastAsia="en-AU"/>
        </w:rPr>
        <w:t>etc..</w:t>
      </w:r>
      <w:proofErr w:type="gramEnd"/>
    </w:p>
    <w:p w:rsidR="00D90DE5" w:rsidRPr="0026497B" w:rsidRDefault="00D90DE5" w:rsidP="00D90DE5">
      <w:pPr>
        <w:pStyle w:val="ListParagraph"/>
        <w:numPr>
          <w:ilvl w:val="2"/>
          <w:numId w:val="32"/>
        </w:numPr>
        <w:rPr>
          <w:color w:val="76923C" w:themeColor="accent3" w:themeShade="BF"/>
          <w:lang w:eastAsia="en-AU"/>
        </w:rPr>
      </w:pPr>
      <w:r w:rsidRPr="0026497B">
        <w:rPr>
          <w:color w:val="76923C" w:themeColor="accent3" w:themeShade="BF"/>
          <w:lang w:eastAsia="en-AU"/>
        </w:rPr>
        <w:t>Period</w:t>
      </w:r>
      <w:r>
        <w:rPr>
          <w:color w:val="76923C" w:themeColor="accent3" w:themeShade="BF"/>
          <w:lang w:eastAsia="en-AU"/>
        </w:rPr>
        <w:t xml:space="preserve"> [1]</w:t>
      </w:r>
    </w:p>
    <w:p w:rsidR="00D90DE5" w:rsidRPr="0026497B" w:rsidRDefault="00D90DE5" w:rsidP="00D90DE5">
      <w:pPr>
        <w:pStyle w:val="ListParagraph"/>
        <w:numPr>
          <w:ilvl w:val="3"/>
          <w:numId w:val="32"/>
        </w:numPr>
        <w:rPr>
          <w:color w:val="76923C" w:themeColor="accent3" w:themeShade="BF"/>
          <w:lang w:eastAsia="en-AU"/>
        </w:rPr>
      </w:pPr>
      <w:r w:rsidRPr="0026497B">
        <w:rPr>
          <w:color w:val="76923C" w:themeColor="accent3" w:themeShade="BF"/>
          <w:lang w:eastAsia="en-AU"/>
        </w:rPr>
        <w:t>Start date / end date | until date | from date | open</w:t>
      </w:r>
    </w:p>
    <w:p w:rsidR="00D90DE5" w:rsidRPr="0026497B" w:rsidRDefault="00D90DE5" w:rsidP="00D90DE5">
      <w:pPr>
        <w:pStyle w:val="ListParagraph"/>
        <w:numPr>
          <w:ilvl w:val="2"/>
          <w:numId w:val="32"/>
        </w:numPr>
        <w:rPr>
          <w:color w:val="76923C" w:themeColor="accent3" w:themeShade="BF"/>
          <w:lang w:eastAsia="en-AU"/>
        </w:rPr>
      </w:pPr>
      <w:r w:rsidRPr="0026497B">
        <w:rPr>
          <w:color w:val="76923C" w:themeColor="accent3" w:themeShade="BF"/>
          <w:lang w:eastAsia="en-AU"/>
        </w:rPr>
        <w:t>Expiry</w:t>
      </w:r>
      <w:r>
        <w:rPr>
          <w:color w:val="76923C" w:themeColor="accent3" w:themeShade="BF"/>
          <w:lang w:eastAsia="en-AU"/>
        </w:rPr>
        <w:t xml:space="preserve"> [</w:t>
      </w:r>
      <w:proofErr w:type="gramStart"/>
      <w:r>
        <w:rPr>
          <w:color w:val="76923C" w:themeColor="accent3" w:themeShade="BF"/>
          <w:lang w:eastAsia="en-AU"/>
        </w:rPr>
        <w:t>0..</w:t>
      </w:r>
      <w:proofErr w:type="gramEnd"/>
      <w:r>
        <w:rPr>
          <w:color w:val="76923C" w:themeColor="accent3" w:themeShade="BF"/>
          <w:lang w:eastAsia="en-AU"/>
        </w:rPr>
        <w:t>1]</w:t>
      </w:r>
    </w:p>
    <w:p w:rsidR="00D90DE5" w:rsidRDefault="00D90DE5" w:rsidP="00D90DE5">
      <w:pPr>
        <w:pStyle w:val="ListParagraph"/>
        <w:numPr>
          <w:ilvl w:val="3"/>
          <w:numId w:val="32"/>
        </w:numPr>
        <w:rPr>
          <w:lang w:eastAsia="en-AU"/>
        </w:rPr>
      </w:pPr>
      <w:r w:rsidRPr="0026497B">
        <w:rPr>
          <w:color w:val="76923C" w:themeColor="accent3" w:themeShade="BF"/>
          <w:lang w:eastAsia="en-AU"/>
        </w:rPr>
        <w:t>Date time representing maximum period of this consent, even if open.</w:t>
      </w:r>
    </w:p>
    <w:p w:rsidR="00D90DE5" w:rsidRPr="0026497B" w:rsidRDefault="00D90DE5" w:rsidP="00D90DE5">
      <w:pPr>
        <w:pStyle w:val="ListParagraph"/>
        <w:numPr>
          <w:ilvl w:val="2"/>
          <w:numId w:val="32"/>
        </w:numPr>
        <w:rPr>
          <w:color w:val="548DD4" w:themeColor="text2" w:themeTint="99"/>
          <w:lang w:eastAsia="en-AU"/>
        </w:rPr>
      </w:pPr>
      <w:r w:rsidRPr="0026497B">
        <w:rPr>
          <w:color w:val="548DD4" w:themeColor="text2" w:themeTint="99"/>
          <w:lang w:eastAsia="en-AU"/>
        </w:rPr>
        <w:t>Assigned HCF [</w:t>
      </w:r>
      <w:proofErr w:type="gramStart"/>
      <w:r>
        <w:rPr>
          <w:color w:val="548DD4" w:themeColor="text2" w:themeTint="99"/>
          <w:lang w:eastAsia="en-AU"/>
        </w:rPr>
        <w:t>0..</w:t>
      </w:r>
      <w:proofErr w:type="gramEnd"/>
      <w:r w:rsidRPr="0026497B">
        <w:rPr>
          <w:color w:val="548DD4" w:themeColor="text2" w:themeTint="99"/>
          <w:lang w:eastAsia="en-AU"/>
        </w:rPr>
        <w:t>1]</w:t>
      </w:r>
    </w:p>
    <w:p w:rsidR="00D90DE5" w:rsidRPr="0026497B" w:rsidRDefault="00D90DE5" w:rsidP="00D90DE5">
      <w:pPr>
        <w:pStyle w:val="ListParagraph"/>
        <w:numPr>
          <w:ilvl w:val="3"/>
          <w:numId w:val="32"/>
        </w:numPr>
        <w:rPr>
          <w:color w:val="548DD4" w:themeColor="text2" w:themeTint="99"/>
          <w:lang w:eastAsia="en-AU"/>
        </w:rPr>
      </w:pPr>
      <w:r w:rsidRPr="0026497B">
        <w:rPr>
          <w:color w:val="548DD4" w:themeColor="text2" w:themeTint="99"/>
          <w:lang w:eastAsia="en-AU"/>
        </w:rPr>
        <w:t>CNES id</w:t>
      </w:r>
    </w:p>
    <w:p w:rsidR="00D90DE5" w:rsidRPr="0026497B" w:rsidRDefault="00D90DE5" w:rsidP="00D90DE5">
      <w:pPr>
        <w:pStyle w:val="ListParagraph"/>
        <w:numPr>
          <w:ilvl w:val="2"/>
          <w:numId w:val="32"/>
        </w:numPr>
        <w:rPr>
          <w:color w:val="548DD4" w:themeColor="text2" w:themeTint="99"/>
          <w:lang w:eastAsia="en-AU"/>
        </w:rPr>
      </w:pPr>
      <w:r w:rsidRPr="0026497B">
        <w:rPr>
          <w:color w:val="548DD4" w:themeColor="text2" w:themeTint="99"/>
          <w:lang w:eastAsia="en-AU"/>
        </w:rPr>
        <w:lastRenderedPageBreak/>
        <w:t>Assignees of consent – one of:</w:t>
      </w:r>
    </w:p>
    <w:p w:rsidR="00D90DE5" w:rsidRPr="0026497B" w:rsidRDefault="00D90DE5" w:rsidP="00D90DE5">
      <w:pPr>
        <w:pStyle w:val="ListParagraph"/>
        <w:numPr>
          <w:ilvl w:val="3"/>
          <w:numId w:val="32"/>
        </w:numPr>
        <w:rPr>
          <w:color w:val="548DD4" w:themeColor="text2" w:themeTint="99"/>
          <w:lang w:eastAsia="en-AU"/>
        </w:rPr>
      </w:pPr>
      <w:r w:rsidRPr="0026497B">
        <w:rPr>
          <w:color w:val="548DD4" w:themeColor="text2" w:themeTint="99"/>
          <w:lang w:eastAsia="en-AU"/>
        </w:rPr>
        <w:t>Responsible HCP(s)</w:t>
      </w:r>
    </w:p>
    <w:p w:rsidR="00D90DE5" w:rsidRPr="0026497B" w:rsidRDefault="00D90DE5" w:rsidP="00D90DE5">
      <w:pPr>
        <w:pStyle w:val="ListParagraph"/>
        <w:numPr>
          <w:ilvl w:val="4"/>
          <w:numId w:val="32"/>
        </w:numPr>
        <w:rPr>
          <w:color w:val="548DD4" w:themeColor="text2" w:themeTint="99"/>
          <w:lang w:eastAsia="en-AU"/>
        </w:rPr>
      </w:pPr>
      <w:r w:rsidRPr="0026497B">
        <w:rPr>
          <w:color w:val="548DD4" w:themeColor="text2" w:themeTint="99"/>
          <w:lang w:eastAsia="en-AU"/>
        </w:rPr>
        <w:t>Name</w:t>
      </w:r>
    </w:p>
    <w:p w:rsidR="00D90DE5" w:rsidRPr="0026497B" w:rsidRDefault="00D90DE5" w:rsidP="00D90DE5">
      <w:pPr>
        <w:pStyle w:val="ListParagraph"/>
        <w:numPr>
          <w:ilvl w:val="4"/>
          <w:numId w:val="32"/>
        </w:numPr>
        <w:rPr>
          <w:color w:val="548DD4" w:themeColor="text2" w:themeTint="99"/>
          <w:lang w:eastAsia="en-AU"/>
        </w:rPr>
      </w:pPr>
      <w:r w:rsidRPr="0026497B">
        <w:rPr>
          <w:color w:val="548DD4" w:themeColor="text2" w:themeTint="99"/>
          <w:lang w:eastAsia="en-AU"/>
        </w:rPr>
        <w:t>CNS id</w:t>
      </w:r>
    </w:p>
    <w:p w:rsidR="00D90DE5" w:rsidRPr="0026497B" w:rsidRDefault="00D90DE5" w:rsidP="00D90DE5">
      <w:pPr>
        <w:pStyle w:val="ListParagraph"/>
        <w:numPr>
          <w:ilvl w:val="3"/>
          <w:numId w:val="32"/>
        </w:numPr>
        <w:rPr>
          <w:color w:val="548DD4" w:themeColor="text2" w:themeTint="99"/>
          <w:lang w:eastAsia="en-AU"/>
        </w:rPr>
      </w:pPr>
      <w:r w:rsidRPr="0026497B">
        <w:rPr>
          <w:color w:val="548DD4" w:themeColor="text2" w:themeTint="99"/>
          <w:lang w:eastAsia="en-AU"/>
        </w:rPr>
        <w:t>Department [</w:t>
      </w:r>
      <w:proofErr w:type="gramStart"/>
      <w:r w:rsidRPr="0026497B">
        <w:rPr>
          <w:color w:val="548DD4" w:themeColor="text2" w:themeTint="99"/>
          <w:lang w:eastAsia="en-AU"/>
        </w:rPr>
        <w:t>0..</w:t>
      </w:r>
      <w:proofErr w:type="gramEnd"/>
      <w:r w:rsidRPr="0026497B">
        <w:rPr>
          <w:color w:val="548DD4" w:themeColor="text2" w:themeTint="99"/>
          <w:lang w:eastAsia="en-AU"/>
        </w:rPr>
        <w:t>1]</w:t>
      </w:r>
    </w:p>
    <w:p w:rsidR="00D90DE5" w:rsidRPr="0026497B" w:rsidRDefault="00D90DE5" w:rsidP="00D90DE5">
      <w:pPr>
        <w:pStyle w:val="ListParagraph"/>
        <w:numPr>
          <w:ilvl w:val="4"/>
          <w:numId w:val="32"/>
        </w:numPr>
        <w:rPr>
          <w:color w:val="548DD4" w:themeColor="text2" w:themeTint="99"/>
          <w:lang w:eastAsia="en-AU"/>
        </w:rPr>
      </w:pPr>
      <w:r w:rsidRPr="0026497B">
        <w:rPr>
          <w:color w:val="548DD4" w:themeColor="text2" w:themeTint="99"/>
          <w:lang w:eastAsia="en-AU"/>
        </w:rPr>
        <w:t>Role(s)</w:t>
      </w:r>
    </w:p>
    <w:p w:rsidR="00D90DE5" w:rsidRPr="0026497B" w:rsidRDefault="00D90DE5" w:rsidP="00D90DE5">
      <w:pPr>
        <w:pStyle w:val="ListParagraph"/>
        <w:numPr>
          <w:ilvl w:val="4"/>
          <w:numId w:val="32"/>
        </w:numPr>
        <w:rPr>
          <w:color w:val="548DD4" w:themeColor="text2" w:themeTint="99"/>
          <w:lang w:eastAsia="en-AU"/>
        </w:rPr>
      </w:pPr>
      <w:r w:rsidRPr="0026497B">
        <w:rPr>
          <w:color w:val="548DD4" w:themeColor="text2" w:themeTint="99"/>
          <w:lang w:eastAsia="en-AU"/>
        </w:rPr>
        <w:t>Id (CNES)?</w:t>
      </w:r>
    </w:p>
    <w:p w:rsidR="00D90DE5" w:rsidRDefault="00D90DE5" w:rsidP="00D90DE5">
      <w:pPr>
        <w:pStyle w:val="ListParagraph"/>
        <w:numPr>
          <w:ilvl w:val="2"/>
          <w:numId w:val="32"/>
        </w:numPr>
        <w:rPr>
          <w:lang w:eastAsia="en-AU"/>
        </w:rPr>
      </w:pPr>
      <w:r>
        <w:rPr>
          <w:lang w:eastAsia="en-AU"/>
        </w:rPr>
        <w:t>Assigner of consent</w:t>
      </w:r>
    </w:p>
    <w:p w:rsidR="00D90DE5" w:rsidRDefault="00D90DE5" w:rsidP="00D90DE5">
      <w:pPr>
        <w:pStyle w:val="ListParagraph"/>
        <w:numPr>
          <w:ilvl w:val="3"/>
          <w:numId w:val="32"/>
        </w:numPr>
        <w:rPr>
          <w:lang w:eastAsia="en-AU"/>
        </w:rPr>
      </w:pPr>
      <w:r>
        <w:rPr>
          <w:lang w:eastAsia="en-AU"/>
        </w:rPr>
        <w:t>Patient | legal guardian | relative | power of attorney</w:t>
      </w:r>
    </w:p>
    <w:p w:rsidR="00D90DE5" w:rsidRDefault="00D90DE5" w:rsidP="00D90DE5">
      <w:pPr>
        <w:pStyle w:val="ListParagraph"/>
        <w:numPr>
          <w:ilvl w:val="3"/>
          <w:numId w:val="32"/>
        </w:numPr>
        <w:rPr>
          <w:lang w:eastAsia="en-AU"/>
        </w:rPr>
      </w:pPr>
      <w:r>
        <w:rPr>
          <w:lang w:eastAsia="en-AU"/>
        </w:rPr>
        <w:t>Details</w:t>
      </w:r>
    </w:p>
    <w:p w:rsidR="00D90DE5" w:rsidRDefault="00D90DE5" w:rsidP="00D90DE5">
      <w:pPr>
        <w:pStyle w:val="ListParagraph"/>
        <w:numPr>
          <w:ilvl w:val="2"/>
          <w:numId w:val="32"/>
        </w:numPr>
        <w:rPr>
          <w:lang w:eastAsia="en-AU"/>
        </w:rPr>
      </w:pPr>
      <w:r>
        <w:rPr>
          <w:lang w:eastAsia="en-AU"/>
        </w:rPr>
        <w:t>Signatures</w:t>
      </w:r>
    </w:p>
    <w:p w:rsidR="00D90DE5" w:rsidRDefault="00D90DE5" w:rsidP="00D90DE5">
      <w:pPr>
        <w:pStyle w:val="ListParagraph"/>
        <w:numPr>
          <w:ilvl w:val="3"/>
          <w:numId w:val="32"/>
        </w:numPr>
        <w:rPr>
          <w:lang w:eastAsia="en-AU"/>
        </w:rPr>
      </w:pPr>
      <w:r>
        <w:rPr>
          <w:lang w:eastAsia="en-AU"/>
        </w:rPr>
        <w:t>Xxx</w:t>
      </w:r>
    </w:p>
    <w:p w:rsidR="00D90DE5" w:rsidRDefault="00D90DE5" w:rsidP="00D90DE5">
      <w:pPr>
        <w:pStyle w:val="ListParagraph"/>
        <w:numPr>
          <w:ilvl w:val="1"/>
          <w:numId w:val="32"/>
        </w:numPr>
        <w:rPr>
          <w:lang w:eastAsia="en-AU"/>
        </w:rPr>
      </w:pPr>
      <w:r>
        <w:rPr>
          <w:lang w:eastAsia="en-AU"/>
        </w:rPr>
        <w:t>Named individual consent</w:t>
      </w:r>
    </w:p>
    <w:p w:rsidR="00D90DE5" w:rsidRDefault="00D90DE5" w:rsidP="00D90DE5">
      <w:pPr>
        <w:pStyle w:val="ListParagraph"/>
        <w:numPr>
          <w:ilvl w:val="2"/>
          <w:numId w:val="32"/>
        </w:numPr>
        <w:rPr>
          <w:lang w:eastAsia="en-AU"/>
        </w:rPr>
      </w:pPr>
      <w:r>
        <w:rPr>
          <w:lang w:eastAsia="en-AU"/>
        </w:rPr>
        <w:t xml:space="preserve">{id = patient id </w:t>
      </w:r>
      <w:proofErr w:type="gramStart"/>
      <w:r>
        <w:rPr>
          <w:lang w:eastAsia="en-AU"/>
        </w:rPr>
        <w:t>+ ???</w:t>
      </w:r>
      <w:proofErr w:type="gramEnd"/>
      <w:r>
        <w:rPr>
          <w:lang w:eastAsia="en-AU"/>
        </w:rPr>
        <w:t xml:space="preserve"> // needed to match revocations}</w:t>
      </w:r>
    </w:p>
    <w:p w:rsidR="00D90DE5" w:rsidRPr="00406EB3" w:rsidRDefault="00D90DE5" w:rsidP="00D90DE5">
      <w:pPr>
        <w:pStyle w:val="ListParagraph"/>
        <w:numPr>
          <w:ilvl w:val="2"/>
          <w:numId w:val="32"/>
        </w:numPr>
        <w:rPr>
          <w:color w:val="984806" w:themeColor="accent6" w:themeShade="80"/>
          <w:lang w:eastAsia="en-AU"/>
        </w:rPr>
      </w:pPr>
      <w:r w:rsidRPr="00406EB3">
        <w:rPr>
          <w:color w:val="984806" w:themeColor="accent6" w:themeShade="80"/>
          <w:lang w:eastAsia="en-AU"/>
        </w:rPr>
        <w:t>Content specification</w:t>
      </w:r>
    </w:p>
    <w:p w:rsidR="00D90DE5" w:rsidRPr="00406EB3" w:rsidRDefault="00D90DE5" w:rsidP="00D90DE5">
      <w:pPr>
        <w:pStyle w:val="ListParagraph"/>
        <w:numPr>
          <w:ilvl w:val="3"/>
          <w:numId w:val="32"/>
        </w:numPr>
        <w:rPr>
          <w:color w:val="984806" w:themeColor="accent6" w:themeShade="80"/>
          <w:lang w:eastAsia="en-AU"/>
        </w:rPr>
      </w:pPr>
      <w:r w:rsidRPr="00406EB3">
        <w:rPr>
          <w:color w:val="984806" w:themeColor="accent6" w:themeShade="80"/>
          <w:lang w:eastAsia="en-AU"/>
        </w:rPr>
        <w:t>xxx</w:t>
      </w:r>
    </w:p>
    <w:p w:rsidR="00D90DE5" w:rsidRPr="00406EB3" w:rsidRDefault="00D90DE5" w:rsidP="00D90DE5">
      <w:pPr>
        <w:pStyle w:val="ListParagraph"/>
        <w:numPr>
          <w:ilvl w:val="2"/>
          <w:numId w:val="32"/>
        </w:numPr>
        <w:rPr>
          <w:color w:val="76923C" w:themeColor="accent3" w:themeShade="BF"/>
          <w:lang w:eastAsia="en-AU"/>
        </w:rPr>
      </w:pPr>
      <w:r w:rsidRPr="00406EB3">
        <w:rPr>
          <w:color w:val="76923C" w:themeColor="accent3" w:themeShade="BF"/>
          <w:lang w:eastAsia="en-AU"/>
        </w:rPr>
        <w:t>Period</w:t>
      </w:r>
    </w:p>
    <w:p w:rsidR="00D90DE5" w:rsidRPr="00406EB3" w:rsidRDefault="00D90DE5" w:rsidP="00D90DE5">
      <w:pPr>
        <w:pStyle w:val="ListParagraph"/>
        <w:numPr>
          <w:ilvl w:val="3"/>
          <w:numId w:val="32"/>
        </w:numPr>
        <w:rPr>
          <w:color w:val="76923C" w:themeColor="accent3" w:themeShade="BF"/>
          <w:lang w:eastAsia="en-AU"/>
        </w:rPr>
      </w:pPr>
      <w:r w:rsidRPr="00406EB3">
        <w:rPr>
          <w:color w:val="76923C" w:themeColor="accent3" w:themeShade="BF"/>
          <w:lang w:eastAsia="en-AU"/>
        </w:rPr>
        <w:t>Start date / end date | until date | from date | open</w:t>
      </w:r>
    </w:p>
    <w:p w:rsidR="00D90DE5" w:rsidRPr="00406EB3" w:rsidRDefault="00D90DE5" w:rsidP="00D90DE5">
      <w:pPr>
        <w:pStyle w:val="ListParagraph"/>
        <w:numPr>
          <w:ilvl w:val="2"/>
          <w:numId w:val="32"/>
        </w:numPr>
        <w:rPr>
          <w:color w:val="76923C" w:themeColor="accent3" w:themeShade="BF"/>
          <w:lang w:eastAsia="en-AU"/>
        </w:rPr>
      </w:pPr>
      <w:r w:rsidRPr="00406EB3">
        <w:rPr>
          <w:color w:val="76923C" w:themeColor="accent3" w:themeShade="BF"/>
          <w:lang w:eastAsia="en-AU"/>
        </w:rPr>
        <w:t>Expiry</w:t>
      </w:r>
    </w:p>
    <w:p w:rsidR="00D90DE5" w:rsidRPr="00406EB3" w:rsidRDefault="00D90DE5" w:rsidP="00D90DE5">
      <w:pPr>
        <w:pStyle w:val="ListParagraph"/>
        <w:numPr>
          <w:ilvl w:val="3"/>
          <w:numId w:val="32"/>
        </w:numPr>
        <w:rPr>
          <w:color w:val="76923C" w:themeColor="accent3" w:themeShade="BF"/>
          <w:lang w:eastAsia="en-AU"/>
        </w:rPr>
      </w:pPr>
      <w:r w:rsidRPr="00406EB3">
        <w:rPr>
          <w:color w:val="76923C" w:themeColor="accent3" w:themeShade="BF"/>
          <w:lang w:eastAsia="en-AU"/>
        </w:rPr>
        <w:t>Date time representing maximum period of this consent, even if open.</w:t>
      </w:r>
    </w:p>
    <w:p w:rsidR="00D90DE5" w:rsidRPr="00406EB3" w:rsidRDefault="00D90DE5" w:rsidP="00D90DE5">
      <w:pPr>
        <w:pStyle w:val="ListParagraph"/>
        <w:numPr>
          <w:ilvl w:val="2"/>
          <w:numId w:val="32"/>
        </w:numPr>
        <w:rPr>
          <w:color w:val="0070C0"/>
          <w:lang w:eastAsia="en-AU"/>
        </w:rPr>
      </w:pPr>
      <w:r w:rsidRPr="00406EB3">
        <w:rPr>
          <w:color w:val="0070C0"/>
          <w:lang w:eastAsia="en-AU"/>
        </w:rPr>
        <w:t>Assigned HCF [1]</w:t>
      </w:r>
    </w:p>
    <w:p w:rsidR="00D90DE5" w:rsidRPr="00406EB3" w:rsidRDefault="00D90DE5" w:rsidP="00D90DE5">
      <w:pPr>
        <w:pStyle w:val="ListParagraph"/>
        <w:numPr>
          <w:ilvl w:val="3"/>
          <w:numId w:val="32"/>
        </w:numPr>
        <w:rPr>
          <w:color w:val="0070C0"/>
          <w:lang w:eastAsia="en-AU"/>
        </w:rPr>
      </w:pPr>
      <w:r w:rsidRPr="00406EB3">
        <w:rPr>
          <w:color w:val="0070C0"/>
          <w:lang w:eastAsia="en-AU"/>
        </w:rPr>
        <w:t>CNES id</w:t>
      </w:r>
    </w:p>
    <w:p w:rsidR="00D90DE5" w:rsidRPr="00406EB3" w:rsidRDefault="00D90DE5" w:rsidP="00D90DE5">
      <w:pPr>
        <w:pStyle w:val="ListParagraph"/>
        <w:numPr>
          <w:ilvl w:val="2"/>
          <w:numId w:val="32"/>
        </w:numPr>
        <w:rPr>
          <w:color w:val="0070C0"/>
          <w:lang w:eastAsia="en-AU"/>
        </w:rPr>
      </w:pPr>
      <w:r w:rsidRPr="00406EB3">
        <w:rPr>
          <w:color w:val="0070C0"/>
          <w:lang w:eastAsia="en-AU"/>
        </w:rPr>
        <w:t>Assignees of consent – one of:</w:t>
      </w:r>
    </w:p>
    <w:p w:rsidR="00D90DE5" w:rsidRPr="00406EB3" w:rsidRDefault="00D90DE5" w:rsidP="00D90DE5">
      <w:pPr>
        <w:pStyle w:val="ListParagraph"/>
        <w:numPr>
          <w:ilvl w:val="3"/>
          <w:numId w:val="32"/>
        </w:numPr>
        <w:rPr>
          <w:color w:val="0070C0"/>
          <w:lang w:eastAsia="en-AU"/>
        </w:rPr>
      </w:pPr>
      <w:r w:rsidRPr="00406EB3">
        <w:rPr>
          <w:color w:val="0070C0"/>
          <w:lang w:eastAsia="en-AU"/>
        </w:rPr>
        <w:t>Guardian [1]</w:t>
      </w:r>
    </w:p>
    <w:p w:rsidR="00D90DE5" w:rsidRPr="00406EB3" w:rsidRDefault="00D90DE5" w:rsidP="00D90DE5">
      <w:pPr>
        <w:pStyle w:val="ListParagraph"/>
        <w:numPr>
          <w:ilvl w:val="4"/>
          <w:numId w:val="32"/>
        </w:numPr>
        <w:rPr>
          <w:color w:val="0070C0"/>
          <w:lang w:eastAsia="en-AU"/>
        </w:rPr>
      </w:pPr>
      <w:r w:rsidRPr="00406EB3">
        <w:rPr>
          <w:color w:val="0070C0"/>
          <w:lang w:eastAsia="en-AU"/>
        </w:rPr>
        <w:t>Identifying info</w:t>
      </w:r>
    </w:p>
    <w:p w:rsidR="00D90DE5" w:rsidRPr="00406EB3" w:rsidRDefault="00D90DE5" w:rsidP="00D90DE5">
      <w:pPr>
        <w:pStyle w:val="ListParagraph"/>
        <w:numPr>
          <w:ilvl w:val="4"/>
          <w:numId w:val="32"/>
        </w:numPr>
        <w:rPr>
          <w:color w:val="0070C0"/>
          <w:lang w:eastAsia="en-AU"/>
        </w:rPr>
      </w:pPr>
      <w:r w:rsidRPr="00406EB3">
        <w:rPr>
          <w:color w:val="0070C0"/>
          <w:lang w:eastAsia="en-AU"/>
        </w:rPr>
        <w:t>Legal basis for claim to guardian rights</w:t>
      </w:r>
    </w:p>
    <w:p w:rsidR="00D90DE5" w:rsidRPr="00406EB3" w:rsidRDefault="00D90DE5" w:rsidP="00D90DE5">
      <w:pPr>
        <w:pStyle w:val="ListParagraph"/>
        <w:numPr>
          <w:ilvl w:val="3"/>
          <w:numId w:val="32"/>
        </w:numPr>
        <w:rPr>
          <w:color w:val="0070C0"/>
          <w:lang w:eastAsia="en-AU"/>
        </w:rPr>
      </w:pPr>
      <w:r w:rsidRPr="00406EB3">
        <w:rPr>
          <w:color w:val="0070C0"/>
          <w:lang w:eastAsia="en-AU"/>
        </w:rPr>
        <w:t>Legal representative</w:t>
      </w:r>
    </w:p>
    <w:p w:rsidR="00D90DE5" w:rsidRPr="00406EB3" w:rsidRDefault="00D90DE5" w:rsidP="00D90DE5">
      <w:pPr>
        <w:pStyle w:val="ListParagraph"/>
        <w:numPr>
          <w:ilvl w:val="4"/>
          <w:numId w:val="32"/>
        </w:numPr>
        <w:rPr>
          <w:color w:val="0070C0"/>
          <w:lang w:eastAsia="en-AU"/>
        </w:rPr>
      </w:pPr>
      <w:r w:rsidRPr="00406EB3">
        <w:rPr>
          <w:color w:val="0070C0"/>
          <w:lang w:eastAsia="en-AU"/>
        </w:rPr>
        <w:t>Identifying info</w:t>
      </w:r>
    </w:p>
    <w:p w:rsidR="00D90DE5" w:rsidRPr="00406EB3" w:rsidRDefault="00D90DE5" w:rsidP="00D90DE5">
      <w:pPr>
        <w:pStyle w:val="ListParagraph"/>
        <w:numPr>
          <w:ilvl w:val="4"/>
          <w:numId w:val="32"/>
        </w:numPr>
        <w:rPr>
          <w:color w:val="0070C0"/>
          <w:lang w:eastAsia="en-AU"/>
        </w:rPr>
      </w:pPr>
      <w:r w:rsidRPr="00406EB3">
        <w:rPr>
          <w:color w:val="0070C0"/>
          <w:lang w:eastAsia="en-AU"/>
        </w:rPr>
        <w:t>Legal basis for claim to be legal representative</w:t>
      </w:r>
    </w:p>
    <w:p w:rsidR="00D90DE5" w:rsidRDefault="00D90DE5" w:rsidP="00D90DE5">
      <w:pPr>
        <w:pStyle w:val="ListParagraph"/>
        <w:numPr>
          <w:ilvl w:val="2"/>
          <w:numId w:val="32"/>
        </w:numPr>
        <w:rPr>
          <w:lang w:eastAsia="en-AU"/>
        </w:rPr>
      </w:pPr>
      <w:r>
        <w:rPr>
          <w:lang w:eastAsia="en-AU"/>
        </w:rPr>
        <w:t>Assigner of consent</w:t>
      </w:r>
    </w:p>
    <w:p w:rsidR="00D90DE5" w:rsidRDefault="00D90DE5" w:rsidP="00D90DE5">
      <w:pPr>
        <w:pStyle w:val="ListParagraph"/>
        <w:numPr>
          <w:ilvl w:val="3"/>
          <w:numId w:val="32"/>
        </w:numPr>
        <w:rPr>
          <w:lang w:eastAsia="en-AU"/>
        </w:rPr>
      </w:pPr>
      <w:r>
        <w:rPr>
          <w:lang w:eastAsia="en-AU"/>
        </w:rPr>
        <w:t>Patient | legal guardian | relative | power of attorney</w:t>
      </w:r>
    </w:p>
    <w:p w:rsidR="00D90DE5" w:rsidRDefault="00D90DE5" w:rsidP="00D90DE5">
      <w:pPr>
        <w:pStyle w:val="ListParagraph"/>
        <w:numPr>
          <w:ilvl w:val="3"/>
          <w:numId w:val="32"/>
        </w:numPr>
        <w:rPr>
          <w:lang w:eastAsia="en-AU"/>
        </w:rPr>
      </w:pPr>
      <w:r>
        <w:rPr>
          <w:lang w:eastAsia="en-AU"/>
        </w:rPr>
        <w:t>Details</w:t>
      </w:r>
    </w:p>
    <w:p w:rsidR="00D90DE5" w:rsidRDefault="00D90DE5" w:rsidP="00D90DE5">
      <w:pPr>
        <w:pStyle w:val="ListParagraph"/>
        <w:numPr>
          <w:ilvl w:val="2"/>
          <w:numId w:val="32"/>
        </w:numPr>
        <w:rPr>
          <w:lang w:eastAsia="en-AU"/>
        </w:rPr>
      </w:pPr>
      <w:r>
        <w:rPr>
          <w:lang w:eastAsia="en-AU"/>
        </w:rPr>
        <w:t>Signatures</w:t>
      </w:r>
    </w:p>
    <w:p w:rsidR="00D90DE5" w:rsidRDefault="00D90DE5" w:rsidP="00D90DE5">
      <w:pPr>
        <w:pStyle w:val="ListParagraph"/>
        <w:numPr>
          <w:ilvl w:val="3"/>
          <w:numId w:val="32"/>
        </w:numPr>
        <w:rPr>
          <w:lang w:eastAsia="en-AU"/>
        </w:rPr>
      </w:pPr>
      <w:r>
        <w:rPr>
          <w:lang w:eastAsia="en-AU"/>
        </w:rPr>
        <w:t>Xxx</w:t>
      </w:r>
    </w:p>
    <w:p w:rsidR="00D90DE5" w:rsidRDefault="00D90DE5" w:rsidP="00D90DE5">
      <w:pPr>
        <w:pStyle w:val="ListParagraph"/>
        <w:numPr>
          <w:ilvl w:val="1"/>
          <w:numId w:val="32"/>
        </w:numPr>
        <w:rPr>
          <w:lang w:eastAsia="en-AU"/>
        </w:rPr>
      </w:pPr>
      <w:r>
        <w:rPr>
          <w:lang w:eastAsia="en-AU"/>
        </w:rPr>
        <w:t>Consent</w:t>
      </w:r>
    </w:p>
    <w:p w:rsidR="00D90DE5" w:rsidRDefault="00D90DE5" w:rsidP="00D90DE5">
      <w:pPr>
        <w:pStyle w:val="ListParagraph"/>
        <w:numPr>
          <w:ilvl w:val="2"/>
          <w:numId w:val="32"/>
        </w:numPr>
        <w:rPr>
          <w:lang w:eastAsia="en-AU"/>
        </w:rPr>
      </w:pPr>
      <w:r>
        <w:rPr>
          <w:lang w:eastAsia="en-AU"/>
        </w:rPr>
        <w:t>…</w:t>
      </w:r>
    </w:p>
    <w:p w:rsidR="00D90DE5" w:rsidRDefault="00D90DE5" w:rsidP="00D90DE5">
      <w:pPr>
        <w:pStyle w:val="ListParagraph"/>
        <w:numPr>
          <w:ilvl w:val="1"/>
          <w:numId w:val="32"/>
        </w:numPr>
        <w:rPr>
          <w:lang w:eastAsia="en-AU"/>
        </w:rPr>
      </w:pPr>
      <w:r>
        <w:rPr>
          <w:lang w:eastAsia="en-AU"/>
        </w:rPr>
        <w:t>Consent revocation</w:t>
      </w:r>
    </w:p>
    <w:p w:rsidR="00D90DE5" w:rsidRDefault="00D90DE5" w:rsidP="00D90DE5">
      <w:pPr>
        <w:pStyle w:val="ListParagraph"/>
        <w:numPr>
          <w:ilvl w:val="2"/>
          <w:numId w:val="32"/>
        </w:numPr>
        <w:rPr>
          <w:lang w:eastAsia="en-AU"/>
        </w:rPr>
      </w:pPr>
      <w:r>
        <w:rPr>
          <w:lang w:eastAsia="en-AU"/>
        </w:rPr>
        <w:t>…</w:t>
      </w:r>
    </w:p>
    <w:p w:rsidR="00D90DE5" w:rsidRDefault="00D90DE5" w:rsidP="00D90DE5">
      <w:pPr>
        <w:pStyle w:val="ListParagraph"/>
        <w:numPr>
          <w:ilvl w:val="1"/>
          <w:numId w:val="32"/>
        </w:numPr>
        <w:rPr>
          <w:lang w:eastAsia="en-AU"/>
        </w:rPr>
      </w:pPr>
      <w:r>
        <w:rPr>
          <w:lang w:eastAsia="en-AU"/>
        </w:rPr>
        <w:t>etc</w:t>
      </w:r>
    </w:p>
    <w:p w:rsidR="00D90DE5" w:rsidRDefault="00D90DE5" w:rsidP="00D90DE5">
      <w:pPr>
        <w:rPr>
          <w:lang w:eastAsia="en-AU"/>
        </w:rPr>
      </w:pPr>
      <w:r>
        <w:rPr>
          <w:lang w:eastAsia="en-AU"/>
        </w:rPr>
        <w:t>Using this model, the ‘consents’ list at the end would be added to with a specific consent each time a health system contact occurs. This would reduce the amount of consent documentation added to the EHR.</w:t>
      </w:r>
    </w:p>
    <w:p w:rsidR="00D90DE5" w:rsidRDefault="00D90DE5" w:rsidP="00D90DE5">
      <w:pPr>
        <w:rPr>
          <w:lang w:eastAsia="en-AU"/>
        </w:rPr>
      </w:pPr>
      <w:r w:rsidRPr="00622BC8">
        <w:rPr>
          <w:color w:val="FF0000"/>
          <w:lang w:eastAsia="en-AU"/>
        </w:rPr>
        <w:t>TODO</w:t>
      </w:r>
      <w:r>
        <w:rPr>
          <w:lang w:eastAsia="en-AU"/>
        </w:rPr>
        <w:t>: deal with care team concept</w:t>
      </w:r>
    </w:p>
    <w:p w:rsidR="00D90DE5" w:rsidRPr="0044563E" w:rsidRDefault="00D90DE5" w:rsidP="00D90DE5">
      <w:pPr>
        <w:rPr>
          <w:lang w:eastAsia="en-AU"/>
        </w:rPr>
      </w:pPr>
      <w:r w:rsidRPr="00622BC8">
        <w:rPr>
          <w:color w:val="FF0000"/>
          <w:lang w:eastAsia="en-AU"/>
        </w:rPr>
        <w:t>TODO</w:t>
      </w:r>
      <w:r>
        <w:rPr>
          <w:lang w:eastAsia="en-AU"/>
        </w:rPr>
        <w:t>: deal with revocation</w:t>
      </w:r>
    </w:p>
    <w:p w:rsidR="00D90DE5" w:rsidRDefault="00D90DE5" w:rsidP="00BE3E79">
      <w:pPr>
        <w:pStyle w:val="Heading2"/>
      </w:pPr>
      <w:bookmarkStart w:id="23" w:name="_Toc482103310"/>
      <w:r>
        <w:lastRenderedPageBreak/>
        <w:t>Consent for Sharing of de-identified data for public healthcare</w:t>
      </w:r>
      <w:bookmarkEnd w:id="23"/>
    </w:p>
    <w:p w:rsidR="00D90DE5" w:rsidRDefault="00D90DE5" w:rsidP="00D90DE5">
      <w:pPr>
        <w:rPr>
          <w:lang w:eastAsia="en-AU"/>
        </w:rPr>
      </w:pPr>
      <w:r>
        <w:rPr>
          <w:lang w:eastAsia="en-AU"/>
        </w:rPr>
        <w:t>TBC</w:t>
      </w:r>
    </w:p>
    <w:p w:rsidR="00D90DE5" w:rsidRDefault="00D90DE5" w:rsidP="00BE3E79">
      <w:pPr>
        <w:pStyle w:val="Heading2"/>
      </w:pPr>
      <w:bookmarkStart w:id="24" w:name="_Toc482103311"/>
      <w:r>
        <w:t>Consent for Research use of health data</w:t>
      </w:r>
      <w:bookmarkEnd w:id="24"/>
    </w:p>
    <w:p w:rsidR="00D90DE5" w:rsidRDefault="00D90DE5" w:rsidP="00D90DE5">
      <w:pPr>
        <w:rPr>
          <w:lang w:eastAsia="en-AU"/>
        </w:rPr>
      </w:pPr>
      <w:r>
        <w:rPr>
          <w:lang w:eastAsia="en-AU"/>
        </w:rPr>
        <w:t>TBC</w:t>
      </w:r>
    </w:p>
    <w:p w:rsidR="00D90DE5" w:rsidRDefault="00D90DE5" w:rsidP="00BE3E79">
      <w:pPr>
        <w:pStyle w:val="Heading2"/>
      </w:pPr>
      <w:bookmarkStart w:id="25" w:name="_Toc482103312"/>
      <w:r>
        <w:t>Consent for Commercial use of health data</w:t>
      </w:r>
      <w:bookmarkEnd w:id="25"/>
    </w:p>
    <w:p w:rsidR="00D301D9" w:rsidRPr="00D301D9" w:rsidRDefault="00D90DE5" w:rsidP="00D301D9">
      <w:pPr>
        <w:rPr>
          <w:lang w:eastAsia="en-AU"/>
        </w:rPr>
      </w:pPr>
      <w:r>
        <w:rPr>
          <w:lang w:eastAsia="en-AU"/>
        </w:rPr>
        <w:t>TBC</w:t>
      </w:r>
    </w:p>
    <w:p w:rsidR="00F17E91" w:rsidRDefault="00622BC8" w:rsidP="00BE3E79">
      <w:pPr>
        <w:pStyle w:val="Heading1"/>
      </w:pPr>
      <w:bookmarkStart w:id="26" w:name="_Toc482103314"/>
      <w:r>
        <w:rPr>
          <w:lang w:val="en-GB"/>
        </w:rPr>
        <w:lastRenderedPageBreak/>
        <w:t>References</w:t>
      </w:r>
      <w:bookmarkEnd w:id="26"/>
    </w:p>
    <w:p w:rsidR="00F17E91" w:rsidRDefault="000079D8" w:rsidP="000F22A4">
      <w:hyperlink r:id="rId9" w:history="1">
        <w:r w:rsidR="00F17E91">
          <w:rPr>
            <w:rStyle w:val="Hyperlink"/>
          </w:rPr>
          <w:t>https://www.ttu.ee/public/k/Kliinilise_meditsiini_instituut/AccessRightsandOrganizationalManagementinImplementationofEstonianElectronicHealthRecordSystem.pdf</w:t>
        </w:r>
      </w:hyperlink>
    </w:p>
    <w:p w:rsidR="000812E2" w:rsidRPr="00F17E91" w:rsidRDefault="000812E2" w:rsidP="000F22A4">
      <w:pPr>
        <w:rPr>
          <w:lang w:eastAsia="en-AU"/>
        </w:rPr>
      </w:pPr>
      <w:r>
        <w:rPr>
          <w:lang w:eastAsia="en-AU"/>
        </w:rPr>
        <w:t xml:space="preserve">References: </w:t>
      </w:r>
      <w:hyperlink r:id="rId10" w:history="1">
        <w:r w:rsidRPr="00A57B53">
          <w:rPr>
            <w:rStyle w:val="Hyperlink"/>
            <w:lang w:eastAsia="en-AU"/>
          </w:rPr>
          <w:t>http://www.digitalhealth.gov.au/using-the-my-health-record-system/maintaining-digital-health-in-your-practice/patient-consent</w:t>
        </w:r>
      </w:hyperlink>
      <w:r>
        <w:rPr>
          <w:lang w:eastAsia="en-AU"/>
        </w:rPr>
        <w:t xml:space="preserve"> </w:t>
      </w:r>
    </w:p>
    <w:sectPr w:rsidR="000812E2" w:rsidRPr="00F17E91" w:rsidSect="00505384">
      <w:headerReference w:type="default" r:id="rId11"/>
      <w:footerReference w:type="default" r:id="rId12"/>
      <w:footnotePr>
        <w:pos w:val="beneathText"/>
      </w:footnotePr>
      <w:pgSz w:w="11905" w:h="16837"/>
      <w:pgMar w:top="1440" w:right="1440" w:bottom="1440" w:left="144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9D8" w:rsidRDefault="000079D8">
      <w:r>
        <w:separator/>
      </w:r>
    </w:p>
  </w:endnote>
  <w:endnote w:type="continuationSeparator" w:id="0">
    <w:p w:rsidR="000079D8" w:rsidRDefault="0000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B3" w:rsidRPr="00750458" w:rsidRDefault="00406EB3">
    <w:pPr>
      <w:pStyle w:val="Footer"/>
      <w:ind w:right="360"/>
      <w:rPr>
        <w:lang w:val="en-GB"/>
      </w:rPr>
    </w:pPr>
    <w:r>
      <w:rPr>
        <w:lang w:val="en-GB"/>
      </w:rPr>
      <w:tab/>
    </w:r>
    <w:r>
      <w:rPr>
        <w:rStyle w:val="PageNumber"/>
      </w:rPr>
      <w:fldChar w:fldCharType="begin"/>
    </w:r>
    <w:r>
      <w:rPr>
        <w:rStyle w:val="PageNumber"/>
      </w:rPr>
      <w:instrText xml:space="preserve"> PAGE </w:instrText>
    </w:r>
    <w:r>
      <w:rPr>
        <w:rStyle w:val="PageNumber"/>
      </w:rPr>
      <w:fldChar w:fldCharType="separate"/>
    </w:r>
    <w:r w:rsidR="00BC0437">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0437">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9D8" w:rsidRDefault="000079D8">
      <w:r>
        <w:separator/>
      </w:r>
    </w:p>
  </w:footnote>
  <w:footnote w:type="continuationSeparator" w:id="0">
    <w:p w:rsidR="000079D8" w:rsidRDefault="0000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B3" w:rsidRPr="00B514E3" w:rsidRDefault="00406EB3" w:rsidP="00B514E3">
    <w:pPr>
      <w:pStyle w:val="Header"/>
      <w:pBdr>
        <w:bottom w:val="single" w:sz="4" w:space="1" w:color="000000"/>
      </w:pBdr>
      <w:rPr>
        <w:lang w:val="en-GB"/>
      </w:rPr>
    </w:pPr>
    <w:r>
      <w:rPr>
        <w:noProof/>
        <w:lang w:val="en-GB" w:eastAsia="en-GB"/>
      </w:rPr>
      <w:drawing>
        <wp:inline distT="0" distB="0" distL="0" distR="0" wp14:anchorId="75817565" wp14:editId="028194EA">
          <wp:extent cx="2353758" cy="3381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ssemantica_logo_b.png"/>
                  <pic:cNvPicPr/>
                </pic:nvPicPr>
                <pic:blipFill>
                  <a:blip r:embed="rId1">
                    <a:extLst>
                      <a:ext uri="{28A0092B-C50C-407E-A947-70E740481C1C}">
                        <a14:useLocalDpi xmlns:a14="http://schemas.microsoft.com/office/drawing/2010/main" val="0"/>
                      </a:ext>
                    </a:extLst>
                  </a:blip>
                  <a:stretch>
                    <a:fillRect/>
                  </a:stretch>
                </pic:blipFill>
                <pic:spPr>
                  <a:xfrm>
                    <a:off x="0" y="0"/>
                    <a:ext cx="2367777" cy="340152"/>
                  </a:xfrm>
                  <a:prstGeom prst="rect">
                    <a:avLst/>
                  </a:prstGeom>
                </pic:spPr>
              </pic:pic>
            </a:graphicData>
          </a:graphic>
        </wp:inline>
      </w:drawing>
    </w:r>
    <w:r>
      <w:rPr>
        <w:lang w:val="en-GB"/>
      </w:rPr>
      <w:tab/>
    </w:r>
    <w:r>
      <w:rPr>
        <w:lang w:val="en-GB"/>
      </w:rPr>
      <w:tab/>
    </w:r>
    <w:proofErr w:type="spellStart"/>
    <w:r w:rsidR="00D52732">
      <w:rPr>
        <w:lang w:val="en-GB"/>
      </w:rPr>
      <w:t>openEHR</w:t>
    </w:r>
    <w:proofErr w:type="spellEnd"/>
    <w:r w:rsidR="00D52732">
      <w:rPr>
        <w:lang w:val="en-GB"/>
      </w:rPr>
      <w:t xml:space="preserve"> concept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06E4DA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9"/>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2" w15:restartNumberingAfterBreak="0">
    <w:nsid w:val="029E08E5"/>
    <w:multiLevelType w:val="hybridMultilevel"/>
    <w:tmpl w:val="F034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0326B"/>
    <w:multiLevelType w:val="hybridMultilevel"/>
    <w:tmpl w:val="EECEE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122CD"/>
    <w:multiLevelType w:val="hybridMultilevel"/>
    <w:tmpl w:val="A4F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8018F"/>
    <w:multiLevelType w:val="hybridMultilevel"/>
    <w:tmpl w:val="E9DC6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37198"/>
    <w:multiLevelType w:val="hybridMultilevel"/>
    <w:tmpl w:val="AA3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B69E3"/>
    <w:multiLevelType w:val="hybridMultilevel"/>
    <w:tmpl w:val="C984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64C9F"/>
    <w:multiLevelType w:val="hybridMultilevel"/>
    <w:tmpl w:val="83CA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E2633"/>
    <w:multiLevelType w:val="hybridMultilevel"/>
    <w:tmpl w:val="7964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63296"/>
    <w:multiLevelType w:val="hybridMultilevel"/>
    <w:tmpl w:val="A1A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545F1"/>
    <w:multiLevelType w:val="hybridMultilevel"/>
    <w:tmpl w:val="C93EF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40404"/>
    <w:multiLevelType w:val="hybridMultilevel"/>
    <w:tmpl w:val="79040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035D0"/>
    <w:multiLevelType w:val="hybridMultilevel"/>
    <w:tmpl w:val="7B02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75B70"/>
    <w:multiLevelType w:val="hybridMultilevel"/>
    <w:tmpl w:val="434E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480913"/>
    <w:multiLevelType w:val="hybridMultilevel"/>
    <w:tmpl w:val="B0567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02D52"/>
    <w:multiLevelType w:val="hybridMultilevel"/>
    <w:tmpl w:val="BF1A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7116B"/>
    <w:multiLevelType w:val="hybridMultilevel"/>
    <w:tmpl w:val="AE52F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F1E24"/>
    <w:multiLevelType w:val="hybridMultilevel"/>
    <w:tmpl w:val="ECE8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4793D"/>
    <w:multiLevelType w:val="hybridMultilevel"/>
    <w:tmpl w:val="D9A8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230CB"/>
    <w:multiLevelType w:val="hybridMultilevel"/>
    <w:tmpl w:val="1B620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221A6F"/>
    <w:multiLevelType w:val="hybridMultilevel"/>
    <w:tmpl w:val="ACF4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AA2C29"/>
    <w:multiLevelType w:val="hybridMultilevel"/>
    <w:tmpl w:val="A2B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C17AC0"/>
    <w:multiLevelType w:val="hybridMultilevel"/>
    <w:tmpl w:val="46CC7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BA06DE"/>
    <w:multiLevelType w:val="multilevel"/>
    <w:tmpl w:val="5E044800"/>
    <w:styleLink w:val="WW8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FC26685"/>
    <w:multiLevelType w:val="hybridMultilevel"/>
    <w:tmpl w:val="6F98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318AB"/>
    <w:multiLevelType w:val="hybridMultilevel"/>
    <w:tmpl w:val="13D0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071DE4"/>
    <w:multiLevelType w:val="multilevel"/>
    <w:tmpl w:val="B35E9F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353F61E3"/>
    <w:multiLevelType w:val="hybridMultilevel"/>
    <w:tmpl w:val="0734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4306ED"/>
    <w:multiLevelType w:val="hybridMultilevel"/>
    <w:tmpl w:val="B10A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930EE4"/>
    <w:multiLevelType w:val="hybridMultilevel"/>
    <w:tmpl w:val="05B4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E876BF"/>
    <w:multiLevelType w:val="hybridMultilevel"/>
    <w:tmpl w:val="9488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3C13B5"/>
    <w:multiLevelType w:val="hybridMultilevel"/>
    <w:tmpl w:val="6314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292849"/>
    <w:multiLevelType w:val="hybridMultilevel"/>
    <w:tmpl w:val="68D0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A74898"/>
    <w:multiLevelType w:val="hybridMultilevel"/>
    <w:tmpl w:val="41EA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E4822"/>
    <w:multiLevelType w:val="hybridMultilevel"/>
    <w:tmpl w:val="FD68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193198"/>
    <w:multiLevelType w:val="hybridMultilevel"/>
    <w:tmpl w:val="9D20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EA6DAB"/>
    <w:multiLevelType w:val="hybridMultilevel"/>
    <w:tmpl w:val="2A044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504DCB"/>
    <w:multiLevelType w:val="hybridMultilevel"/>
    <w:tmpl w:val="9226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7100E0"/>
    <w:multiLevelType w:val="hybridMultilevel"/>
    <w:tmpl w:val="7A1E6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D06BE"/>
    <w:multiLevelType w:val="hybridMultilevel"/>
    <w:tmpl w:val="9AC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03777E"/>
    <w:multiLevelType w:val="hybridMultilevel"/>
    <w:tmpl w:val="C4C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01760E"/>
    <w:multiLevelType w:val="hybridMultilevel"/>
    <w:tmpl w:val="8E0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542D15"/>
    <w:multiLevelType w:val="hybridMultilevel"/>
    <w:tmpl w:val="6E2A9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D9770B"/>
    <w:multiLevelType w:val="hybridMultilevel"/>
    <w:tmpl w:val="53D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2B31E0"/>
    <w:multiLevelType w:val="hybridMultilevel"/>
    <w:tmpl w:val="3088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3A03C7"/>
    <w:multiLevelType w:val="hybridMultilevel"/>
    <w:tmpl w:val="0D7A79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669778FF"/>
    <w:multiLevelType w:val="hybridMultilevel"/>
    <w:tmpl w:val="403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E714D5"/>
    <w:multiLevelType w:val="hybridMultilevel"/>
    <w:tmpl w:val="BBCE8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07475E"/>
    <w:multiLevelType w:val="hybridMultilevel"/>
    <w:tmpl w:val="564C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015916"/>
    <w:multiLevelType w:val="hybridMultilevel"/>
    <w:tmpl w:val="E4A6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7247AE"/>
    <w:multiLevelType w:val="hybridMultilevel"/>
    <w:tmpl w:val="64BA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EA2C3B"/>
    <w:multiLevelType w:val="hybridMultilevel"/>
    <w:tmpl w:val="DE72584E"/>
    <w:lvl w:ilvl="0" w:tplc="76CCE3E8">
      <w:start w:val="1"/>
      <w:numFmt w:val="bullet"/>
      <w:pStyle w:val="StyleBulleted"/>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52"/>
  </w:num>
  <w:num w:numId="2">
    <w:abstractNumId w:val="0"/>
  </w:num>
  <w:num w:numId="3">
    <w:abstractNumId w:val="27"/>
  </w:num>
  <w:num w:numId="4">
    <w:abstractNumId w:val="24"/>
  </w:num>
  <w:num w:numId="5">
    <w:abstractNumId w:val="32"/>
  </w:num>
  <w:num w:numId="6">
    <w:abstractNumId w:val="44"/>
  </w:num>
  <w:num w:numId="7">
    <w:abstractNumId w:val="6"/>
  </w:num>
  <w:num w:numId="8">
    <w:abstractNumId w:val="40"/>
  </w:num>
  <w:num w:numId="9">
    <w:abstractNumId w:val="49"/>
  </w:num>
  <w:num w:numId="10">
    <w:abstractNumId w:val="8"/>
  </w:num>
  <w:num w:numId="11">
    <w:abstractNumId w:val="15"/>
  </w:num>
  <w:num w:numId="12">
    <w:abstractNumId w:val="21"/>
  </w:num>
  <w:num w:numId="13">
    <w:abstractNumId w:val="51"/>
  </w:num>
  <w:num w:numId="14">
    <w:abstractNumId w:val="22"/>
  </w:num>
  <w:num w:numId="15">
    <w:abstractNumId w:val="18"/>
  </w:num>
  <w:num w:numId="16">
    <w:abstractNumId w:val="28"/>
  </w:num>
  <w:num w:numId="17">
    <w:abstractNumId w:val="31"/>
  </w:num>
  <w:num w:numId="18">
    <w:abstractNumId w:val="35"/>
  </w:num>
  <w:num w:numId="19">
    <w:abstractNumId w:val="7"/>
  </w:num>
  <w:num w:numId="20">
    <w:abstractNumId w:val="48"/>
  </w:num>
  <w:num w:numId="21">
    <w:abstractNumId w:val="19"/>
  </w:num>
  <w:num w:numId="22">
    <w:abstractNumId w:val="2"/>
  </w:num>
  <w:num w:numId="23">
    <w:abstractNumId w:val="4"/>
  </w:num>
  <w:num w:numId="24">
    <w:abstractNumId w:val="30"/>
  </w:num>
  <w:num w:numId="25">
    <w:abstractNumId w:val="29"/>
  </w:num>
  <w:num w:numId="26">
    <w:abstractNumId w:val="3"/>
  </w:num>
  <w:num w:numId="27">
    <w:abstractNumId w:val="45"/>
  </w:num>
  <w:num w:numId="28">
    <w:abstractNumId w:val="26"/>
  </w:num>
  <w:num w:numId="29">
    <w:abstractNumId w:val="33"/>
  </w:num>
  <w:num w:numId="30">
    <w:abstractNumId w:val="46"/>
  </w:num>
  <w:num w:numId="31">
    <w:abstractNumId w:val="9"/>
  </w:num>
  <w:num w:numId="32">
    <w:abstractNumId w:val="20"/>
  </w:num>
  <w:num w:numId="33">
    <w:abstractNumId w:val="25"/>
  </w:num>
  <w:num w:numId="34">
    <w:abstractNumId w:val="34"/>
  </w:num>
  <w:num w:numId="35">
    <w:abstractNumId w:val="14"/>
  </w:num>
  <w:num w:numId="36">
    <w:abstractNumId w:val="36"/>
  </w:num>
  <w:num w:numId="37">
    <w:abstractNumId w:val="42"/>
  </w:num>
  <w:num w:numId="38">
    <w:abstractNumId w:val="47"/>
  </w:num>
  <w:num w:numId="39">
    <w:abstractNumId w:val="43"/>
  </w:num>
  <w:num w:numId="40">
    <w:abstractNumId w:val="50"/>
  </w:num>
  <w:num w:numId="41">
    <w:abstractNumId w:val="11"/>
  </w:num>
  <w:num w:numId="42">
    <w:abstractNumId w:val="13"/>
  </w:num>
  <w:num w:numId="43">
    <w:abstractNumId w:val="38"/>
  </w:num>
  <w:num w:numId="44">
    <w:abstractNumId w:val="39"/>
  </w:num>
  <w:num w:numId="45">
    <w:abstractNumId w:val="16"/>
  </w:num>
  <w:num w:numId="46">
    <w:abstractNumId w:val="17"/>
  </w:num>
  <w:num w:numId="47">
    <w:abstractNumId w:val="12"/>
  </w:num>
  <w:num w:numId="48">
    <w:abstractNumId w:val="41"/>
  </w:num>
  <w:num w:numId="49">
    <w:abstractNumId w:val="23"/>
  </w:num>
  <w:num w:numId="50">
    <w:abstractNumId w:val="10"/>
  </w:num>
  <w:num w:numId="51">
    <w:abstractNumId w:val="5"/>
  </w:num>
  <w:num w:numId="52">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65CDB"/>
    <w:rsid w:val="000079D8"/>
    <w:rsid w:val="00007B22"/>
    <w:rsid w:val="00012A01"/>
    <w:rsid w:val="00015A90"/>
    <w:rsid w:val="00021270"/>
    <w:rsid w:val="00022ADD"/>
    <w:rsid w:val="00022C18"/>
    <w:rsid w:val="00024E76"/>
    <w:rsid w:val="00025E33"/>
    <w:rsid w:val="000300C8"/>
    <w:rsid w:val="0003165D"/>
    <w:rsid w:val="000324E4"/>
    <w:rsid w:val="000325D9"/>
    <w:rsid w:val="0003440A"/>
    <w:rsid w:val="000357F5"/>
    <w:rsid w:val="00036817"/>
    <w:rsid w:val="00042F4A"/>
    <w:rsid w:val="00044E00"/>
    <w:rsid w:val="0004653A"/>
    <w:rsid w:val="00050396"/>
    <w:rsid w:val="00050C9A"/>
    <w:rsid w:val="000514CA"/>
    <w:rsid w:val="00060A83"/>
    <w:rsid w:val="00060AB4"/>
    <w:rsid w:val="00061F8F"/>
    <w:rsid w:val="0007181E"/>
    <w:rsid w:val="00076343"/>
    <w:rsid w:val="00077972"/>
    <w:rsid w:val="00080D25"/>
    <w:rsid w:val="00080EC2"/>
    <w:rsid w:val="000812E2"/>
    <w:rsid w:val="00081412"/>
    <w:rsid w:val="00082A08"/>
    <w:rsid w:val="00085F1A"/>
    <w:rsid w:val="00092BA4"/>
    <w:rsid w:val="0009528B"/>
    <w:rsid w:val="000A1776"/>
    <w:rsid w:val="000A18E8"/>
    <w:rsid w:val="000A2ADA"/>
    <w:rsid w:val="000A4C33"/>
    <w:rsid w:val="000A4E9F"/>
    <w:rsid w:val="000B10BF"/>
    <w:rsid w:val="000B153E"/>
    <w:rsid w:val="000B35F8"/>
    <w:rsid w:val="000B454D"/>
    <w:rsid w:val="000B4A9D"/>
    <w:rsid w:val="000B68B8"/>
    <w:rsid w:val="000C0FA3"/>
    <w:rsid w:val="000C336D"/>
    <w:rsid w:val="000C4ABE"/>
    <w:rsid w:val="000C5236"/>
    <w:rsid w:val="000C6337"/>
    <w:rsid w:val="000C7136"/>
    <w:rsid w:val="000D2442"/>
    <w:rsid w:val="000D2F6C"/>
    <w:rsid w:val="000D3E52"/>
    <w:rsid w:val="000D406E"/>
    <w:rsid w:val="000D4094"/>
    <w:rsid w:val="000D4509"/>
    <w:rsid w:val="000E17D1"/>
    <w:rsid w:val="000E1EAC"/>
    <w:rsid w:val="000E3322"/>
    <w:rsid w:val="000F1707"/>
    <w:rsid w:val="000F22A4"/>
    <w:rsid w:val="000F48AB"/>
    <w:rsid w:val="00101063"/>
    <w:rsid w:val="00101E42"/>
    <w:rsid w:val="00101F25"/>
    <w:rsid w:val="001035F8"/>
    <w:rsid w:val="001071E3"/>
    <w:rsid w:val="0011160F"/>
    <w:rsid w:val="0011275B"/>
    <w:rsid w:val="00112D13"/>
    <w:rsid w:val="00113C5A"/>
    <w:rsid w:val="001149E3"/>
    <w:rsid w:val="00115DB7"/>
    <w:rsid w:val="00116170"/>
    <w:rsid w:val="00116FE0"/>
    <w:rsid w:val="001179B2"/>
    <w:rsid w:val="001266BF"/>
    <w:rsid w:val="0012798D"/>
    <w:rsid w:val="001335E6"/>
    <w:rsid w:val="00135A7C"/>
    <w:rsid w:val="00135AB9"/>
    <w:rsid w:val="001375F6"/>
    <w:rsid w:val="0014122C"/>
    <w:rsid w:val="00141292"/>
    <w:rsid w:val="0014140F"/>
    <w:rsid w:val="001424F8"/>
    <w:rsid w:val="00145602"/>
    <w:rsid w:val="0014632B"/>
    <w:rsid w:val="001464B4"/>
    <w:rsid w:val="00147760"/>
    <w:rsid w:val="001517ED"/>
    <w:rsid w:val="00152F57"/>
    <w:rsid w:val="00155B4D"/>
    <w:rsid w:val="001571FB"/>
    <w:rsid w:val="0016011C"/>
    <w:rsid w:val="00162739"/>
    <w:rsid w:val="00162ADE"/>
    <w:rsid w:val="00162F36"/>
    <w:rsid w:val="00164197"/>
    <w:rsid w:val="00164CA3"/>
    <w:rsid w:val="0016535A"/>
    <w:rsid w:val="0016590C"/>
    <w:rsid w:val="00175120"/>
    <w:rsid w:val="00175338"/>
    <w:rsid w:val="00175D3E"/>
    <w:rsid w:val="00175D7B"/>
    <w:rsid w:val="0018523A"/>
    <w:rsid w:val="001857B9"/>
    <w:rsid w:val="00187752"/>
    <w:rsid w:val="00187D59"/>
    <w:rsid w:val="00187DC4"/>
    <w:rsid w:val="00193839"/>
    <w:rsid w:val="0019478C"/>
    <w:rsid w:val="001956A6"/>
    <w:rsid w:val="00197DD2"/>
    <w:rsid w:val="001A069F"/>
    <w:rsid w:val="001A184F"/>
    <w:rsid w:val="001A1851"/>
    <w:rsid w:val="001A5F20"/>
    <w:rsid w:val="001B02D8"/>
    <w:rsid w:val="001B06B0"/>
    <w:rsid w:val="001B2ED4"/>
    <w:rsid w:val="001B4717"/>
    <w:rsid w:val="001B6B96"/>
    <w:rsid w:val="001B7127"/>
    <w:rsid w:val="001C1F00"/>
    <w:rsid w:val="001C371D"/>
    <w:rsid w:val="001C39A1"/>
    <w:rsid w:val="001C6FB2"/>
    <w:rsid w:val="001D3E1D"/>
    <w:rsid w:val="001D6A81"/>
    <w:rsid w:val="001E0C9F"/>
    <w:rsid w:val="001E36F2"/>
    <w:rsid w:val="001E596F"/>
    <w:rsid w:val="001E6892"/>
    <w:rsid w:val="001E7BD6"/>
    <w:rsid w:val="001F21BD"/>
    <w:rsid w:val="001F3879"/>
    <w:rsid w:val="001F5532"/>
    <w:rsid w:val="00200CFB"/>
    <w:rsid w:val="00207C71"/>
    <w:rsid w:val="002106FC"/>
    <w:rsid w:val="00210B74"/>
    <w:rsid w:val="002110C1"/>
    <w:rsid w:val="002114B9"/>
    <w:rsid w:val="00212A5C"/>
    <w:rsid w:val="0021414C"/>
    <w:rsid w:val="00214BB3"/>
    <w:rsid w:val="002160F8"/>
    <w:rsid w:val="002167F6"/>
    <w:rsid w:val="00220B8A"/>
    <w:rsid w:val="00221606"/>
    <w:rsid w:val="00221AC6"/>
    <w:rsid w:val="002244F4"/>
    <w:rsid w:val="00233E5C"/>
    <w:rsid w:val="00236AF8"/>
    <w:rsid w:val="00236E82"/>
    <w:rsid w:val="00242B49"/>
    <w:rsid w:val="00243455"/>
    <w:rsid w:val="00246B77"/>
    <w:rsid w:val="0024740B"/>
    <w:rsid w:val="00250005"/>
    <w:rsid w:val="00250B75"/>
    <w:rsid w:val="00251365"/>
    <w:rsid w:val="002558E3"/>
    <w:rsid w:val="00256634"/>
    <w:rsid w:val="002566A1"/>
    <w:rsid w:val="002575B7"/>
    <w:rsid w:val="00257812"/>
    <w:rsid w:val="00262720"/>
    <w:rsid w:val="0026298E"/>
    <w:rsid w:val="002637A1"/>
    <w:rsid w:val="002643A8"/>
    <w:rsid w:val="002645AD"/>
    <w:rsid w:val="0026497B"/>
    <w:rsid w:val="00265E64"/>
    <w:rsid w:val="00266AA4"/>
    <w:rsid w:val="00270352"/>
    <w:rsid w:val="00272081"/>
    <w:rsid w:val="002722F0"/>
    <w:rsid w:val="002742BF"/>
    <w:rsid w:val="0027433E"/>
    <w:rsid w:val="00275425"/>
    <w:rsid w:val="00285283"/>
    <w:rsid w:val="002872D5"/>
    <w:rsid w:val="00287311"/>
    <w:rsid w:val="00287AFA"/>
    <w:rsid w:val="0029044E"/>
    <w:rsid w:val="00291E39"/>
    <w:rsid w:val="002A042D"/>
    <w:rsid w:val="002A3D5B"/>
    <w:rsid w:val="002A4FCC"/>
    <w:rsid w:val="002B2586"/>
    <w:rsid w:val="002B2E4D"/>
    <w:rsid w:val="002B64CA"/>
    <w:rsid w:val="002B6694"/>
    <w:rsid w:val="002C1243"/>
    <w:rsid w:val="002C4E18"/>
    <w:rsid w:val="002C5B6A"/>
    <w:rsid w:val="002C6661"/>
    <w:rsid w:val="002C6950"/>
    <w:rsid w:val="002D0027"/>
    <w:rsid w:val="002D09BF"/>
    <w:rsid w:val="002D3875"/>
    <w:rsid w:val="002D5727"/>
    <w:rsid w:val="002E3F10"/>
    <w:rsid w:val="002E42BC"/>
    <w:rsid w:val="002E654E"/>
    <w:rsid w:val="002F23C7"/>
    <w:rsid w:val="002F356E"/>
    <w:rsid w:val="002F7DAE"/>
    <w:rsid w:val="003022C6"/>
    <w:rsid w:val="003029DB"/>
    <w:rsid w:val="003039F7"/>
    <w:rsid w:val="00304245"/>
    <w:rsid w:val="00310129"/>
    <w:rsid w:val="0031617D"/>
    <w:rsid w:val="003163C3"/>
    <w:rsid w:val="00316DCA"/>
    <w:rsid w:val="00320CE9"/>
    <w:rsid w:val="0032334E"/>
    <w:rsid w:val="0032636A"/>
    <w:rsid w:val="0033115A"/>
    <w:rsid w:val="003343B0"/>
    <w:rsid w:val="0033499A"/>
    <w:rsid w:val="0034379C"/>
    <w:rsid w:val="003468C0"/>
    <w:rsid w:val="00346DD5"/>
    <w:rsid w:val="0034712A"/>
    <w:rsid w:val="003472B5"/>
    <w:rsid w:val="00350F34"/>
    <w:rsid w:val="003516F7"/>
    <w:rsid w:val="003553F8"/>
    <w:rsid w:val="00360BA0"/>
    <w:rsid w:val="00362186"/>
    <w:rsid w:val="003659E8"/>
    <w:rsid w:val="0036701E"/>
    <w:rsid w:val="00371F8D"/>
    <w:rsid w:val="0037386E"/>
    <w:rsid w:val="00376550"/>
    <w:rsid w:val="00376950"/>
    <w:rsid w:val="00377E0C"/>
    <w:rsid w:val="0038003C"/>
    <w:rsid w:val="00381300"/>
    <w:rsid w:val="00381EB2"/>
    <w:rsid w:val="0038497E"/>
    <w:rsid w:val="0038520B"/>
    <w:rsid w:val="00385EB9"/>
    <w:rsid w:val="00386662"/>
    <w:rsid w:val="00387081"/>
    <w:rsid w:val="00387867"/>
    <w:rsid w:val="0039059F"/>
    <w:rsid w:val="00391565"/>
    <w:rsid w:val="003922F6"/>
    <w:rsid w:val="00392EAA"/>
    <w:rsid w:val="00397BBB"/>
    <w:rsid w:val="003A175E"/>
    <w:rsid w:val="003B3BDC"/>
    <w:rsid w:val="003C0985"/>
    <w:rsid w:val="003C6C2C"/>
    <w:rsid w:val="003C75B8"/>
    <w:rsid w:val="003D1A27"/>
    <w:rsid w:val="003E452A"/>
    <w:rsid w:val="003E6A92"/>
    <w:rsid w:val="003F1991"/>
    <w:rsid w:val="003F2068"/>
    <w:rsid w:val="003F2B3A"/>
    <w:rsid w:val="003F3248"/>
    <w:rsid w:val="00406EB3"/>
    <w:rsid w:val="00410F54"/>
    <w:rsid w:val="004157FD"/>
    <w:rsid w:val="004211CB"/>
    <w:rsid w:val="004238A8"/>
    <w:rsid w:val="0042535B"/>
    <w:rsid w:val="00426318"/>
    <w:rsid w:val="0043075F"/>
    <w:rsid w:val="00432B22"/>
    <w:rsid w:val="00435023"/>
    <w:rsid w:val="00440E57"/>
    <w:rsid w:val="00441049"/>
    <w:rsid w:val="0044563E"/>
    <w:rsid w:val="00445F8B"/>
    <w:rsid w:val="00446AE3"/>
    <w:rsid w:val="00452C9F"/>
    <w:rsid w:val="00456A88"/>
    <w:rsid w:val="00457CEE"/>
    <w:rsid w:val="00460212"/>
    <w:rsid w:val="00462413"/>
    <w:rsid w:val="00463CB2"/>
    <w:rsid w:val="00466C52"/>
    <w:rsid w:val="00475BD6"/>
    <w:rsid w:val="004856E7"/>
    <w:rsid w:val="00491A3B"/>
    <w:rsid w:val="004A2C99"/>
    <w:rsid w:val="004A3BB7"/>
    <w:rsid w:val="004A4E95"/>
    <w:rsid w:val="004B0B8F"/>
    <w:rsid w:val="004B2FFD"/>
    <w:rsid w:val="004B6BA0"/>
    <w:rsid w:val="004B6D03"/>
    <w:rsid w:val="004B72EA"/>
    <w:rsid w:val="004C08DC"/>
    <w:rsid w:val="004C1E57"/>
    <w:rsid w:val="004C2476"/>
    <w:rsid w:val="004C358E"/>
    <w:rsid w:val="004D0860"/>
    <w:rsid w:val="004D2151"/>
    <w:rsid w:val="004D3067"/>
    <w:rsid w:val="004D6F1A"/>
    <w:rsid w:val="004E070B"/>
    <w:rsid w:val="004E0F94"/>
    <w:rsid w:val="004E42B3"/>
    <w:rsid w:val="004F2CDB"/>
    <w:rsid w:val="004F370D"/>
    <w:rsid w:val="004F4185"/>
    <w:rsid w:val="004F5202"/>
    <w:rsid w:val="00503140"/>
    <w:rsid w:val="00503C6E"/>
    <w:rsid w:val="005046AB"/>
    <w:rsid w:val="00505384"/>
    <w:rsid w:val="00505E02"/>
    <w:rsid w:val="00507BFC"/>
    <w:rsid w:val="00512A3C"/>
    <w:rsid w:val="00512F76"/>
    <w:rsid w:val="00532270"/>
    <w:rsid w:val="0053339B"/>
    <w:rsid w:val="00542E30"/>
    <w:rsid w:val="005434A8"/>
    <w:rsid w:val="00543CAA"/>
    <w:rsid w:val="005440E3"/>
    <w:rsid w:val="00547B6D"/>
    <w:rsid w:val="00550B8F"/>
    <w:rsid w:val="0055459C"/>
    <w:rsid w:val="00556ED5"/>
    <w:rsid w:val="005630FF"/>
    <w:rsid w:val="00566DE2"/>
    <w:rsid w:val="00573E9C"/>
    <w:rsid w:val="00573F92"/>
    <w:rsid w:val="005802E1"/>
    <w:rsid w:val="00580EC0"/>
    <w:rsid w:val="00584B55"/>
    <w:rsid w:val="00586468"/>
    <w:rsid w:val="005904C5"/>
    <w:rsid w:val="0059160F"/>
    <w:rsid w:val="005975DB"/>
    <w:rsid w:val="005A1096"/>
    <w:rsid w:val="005A2D4B"/>
    <w:rsid w:val="005A448D"/>
    <w:rsid w:val="005A647F"/>
    <w:rsid w:val="005B28CB"/>
    <w:rsid w:val="005B40A0"/>
    <w:rsid w:val="005C1062"/>
    <w:rsid w:val="005C14BD"/>
    <w:rsid w:val="005C18F9"/>
    <w:rsid w:val="005C6278"/>
    <w:rsid w:val="005D0D1E"/>
    <w:rsid w:val="005D25F5"/>
    <w:rsid w:val="005D3067"/>
    <w:rsid w:val="005D406A"/>
    <w:rsid w:val="005D4579"/>
    <w:rsid w:val="005D5955"/>
    <w:rsid w:val="005E10C5"/>
    <w:rsid w:val="005E23ED"/>
    <w:rsid w:val="005E3C89"/>
    <w:rsid w:val="005F0E1A"/>
    <w:rsid w:val="005F35CC"/>
    <w:rsid w:val="005F59AA"/>
    <w:rsid w:val="005F6047"/>
    <w:rsid w:val="00605C94"/>
    <w:rsid w:val="00613911"/>
    <w:rsid w:val="006141E3"/>
    <w:rsid w:val="006150FB"/>
    <w:rsid w:val="00615446"/>
    <w:rsid w:val="00620BEB"/>
    <w:rsid w:val="00622BC8"/>
    <w:rsid w:val="00625260"/>
    <w:rsid w:val="00633890"/>
    <w:rsid w:val="00634C1F"/>
    <w:rsid w:val="00636076"/>
    <w:rsid w:val="00640E36"/>
    <w:rsid w:val="006418F6"/>
    <w:rsid w:val="00647FC3"/>
    <w:rsid w:val="0065202A"/>
    <w:rsid w:val="0065280E"/>
    <w:rsid w:val="00653B26"/>
    <w:rsid w:val="00654744"/>
    <w:rsid w:val="0066366B"/>
    <w:rsid w:val="00666D44"/>
    <w:rsid w:val="00673B94"/>
    <w:rsid w:val="006742F5"/>
    <w:rsid w:val="00676A8B"/>
    <w:rsid w:val="00677684"/>
    <w:rsid w:val="006779C2"/>
    <w:rsid w:val="0068381B"/>
    <w:rsid w:val="00687CEC"/>
    <w:rsid w:val="00695B5C"/>
    <w:rsid w:val="00696775"/>
    <w:rsid w:val="006A0DEB"/>
    <w:rsid w:val="006A2C87"/>
    <w:rsid w:val="006A4034"/>
    <w:rsid w:val="006A4658"/>
    <w:rsid w:val="006A4918"/>
    <w:rsid w:val="006A66D9"/>
    <w:rsid w:val="006B610A"/>
    <w:rsid w:val="006C0A0E"/>
    <w:rsid w:val="006C1ECB"/>
    <w:rsid w:val="006C1F36"/>
    <w:rsid w:val="006C2451"/>
    <w:rsid w:val="006C2D08"/>
    <w:rsid w:val="006D0911"/>
    <w:rsid w:val="006D0F9C"/>
    <w:rsid w:val="006D2C69"/>
    <w:rsid w:val="006D7454"/>
    <w:rsid w:val="006E52A3"/>
    <w:rsid w:val="006E7FE2"/>
    <w:rsid w:val="006F2D15"/>
    <w:rsid w:val="006F4571"/>
    <w:rsid w:val="006F576D"/>
    <w:rsid w:val="006F5AD1"/>
    <w:rsid w:val="00704BB9"/>
    <w:rsid w:val="00705426"/>
    <w:rsid w:val="00705E35"/>
    <w:rsid w:val="007100FE"/>
    <w:rsid w:val="00712686"/>
    <w:rsid w:val="00713AE8"/>
    <w:rsid w:val="00713F93"/>
    <w:rsid w:val="007164D4"/>
    <w:rsid w:val="00720A4A"/>
    <w:rsid w:val="007212C1"/>
    <w:rsid w:val="007217E4"/>
    <w:rsid w:val="007328EF"/>
    <w:rsid w:val="00742940"/>
    <w:rsid w:val="007474FF"/>
    <w:rsid w:val="00750458"/>
    <w:rsid w:val="007539A1"/>
    <w:rsid w:val="0076504E"/>
    <w:rsid w:val="007651F2"/>
    <w:rsid w:val="00770060"/>
    <w:rsid w:val="007756F0"/>
    <w:rsid w:val="00776976"/>
    <w:rsid w:val="0077759D"/>
    <w:rsid w:val="00781D82"/>
    <w:rsid w:val="00782B51"/>
    <w:rsid w:val="007833CF"/>
    <w:rsid w:val="00783DE3"/>
    <w:rsid w:val="00784377"/>
    <w:rsid w:val="007935EC"/>
    <w:rsid w:val="00793FEC"/>
    <w:rsid w:val="007A03CC"/>
    <w:rsid w:val="007A0548"/>
    <w:rsid w:val="007A19F3"/>
    <w:rsid w:val="007A1EA5"/>
    <w:rsid w:val="007A21E7"/>
    <w:rsid w:val="007A7BFE"/>
    <w:rsid w:val="007B5CB5"/>
    <w:rsid w:val="007B5D1D"/>
    <w:rsid w:val="007B6933"/>
    <w:rsid w:val="007C0EF9"/>
    <w:rsid w:val="007C700F"/>
    <w:rsid w:val="007D0D88"/>
    <w:rsid w:val="007D1DFC"/>
    <w:rsid w:val="007D4B55"/>
    <w:rsid w:val="007D74A7"/>
    <w:rsid w:val="007E0F8D"/>
    <w:rsid w:val="007E1AD0"/>
    <w:rsid w:val="007E3A94"/>
    <w:rsid w:val="007E3CDC"/>
    <w:rsid w:val="007E521E"/>
    <w:rsid w:val="007F1884"/>
    <w:rsid w:val="007F766C"/>
    <w:rsid w:val="008007B4"/>
    <w:rsid w:val="00800F59"/>
    <w:rsid w:val="0080739E"/>
    <w:rsid w:val="00810188"/>
    <w:rsid w:val="00812A1C"/>
    <w:rsid w:val="00813C72"/>
    <w:rsid w:val="00821968"/>
    <w:rsid w:val="00823431"/>
    <w:rsid w:val="00827438"/>
    <w:rsid w:val="00830F6A"/>
    <w:rsid w:val="00831084"/>
    <w:rsid w:val="00832EBA"/>
    <w:rsid w:val="00837C62"/>
    <w:rsid w:val="00851C7E"/>
    <w:rsid w:val="00852524"/>
    <w:rsid w:val="00853FCF"/>
    <w:rsid w:val="00856B26"/>
    <w:rsid w:val="00857977"/>
    <w:rsid w:val="008646FE"/>
    <w:rsid w:val="00865C19"/>
    <w:rsid w:val="00870ADB"/>
    <w:rsid w:val="00871A78"/>
    <w:rsid w:val="00872DBD"/>
    <w:rsid w:val="00873693"/>
    <w:rsid w:val="00877363"/>
    <w:rsid w:val="00882BB5"/>
    <w:rsid w:val="00883471"/>
    <w:rsid w:val="00884A22"/>
    <w:rsid w:val="008901A5"/>
    <w:rsid w:val="00890CC6"/>
    <w:rsid w:val="00895ECA"/>
    <w:rsid w:val="008A25F8"/>
    <w:rsid w:val="008A2992"/>
    <w:rsid w:val="008A2C19"/>
    <w:rsid w:val="008A37CA"/>
    <w:rsid w:val="008A3FE2"/>
    <w:rsid w:val="008A5B42"/>
    <w:rsid w:val="008A7E15"/>
    <w:rsid w:val="008B27C3"/>
    <w:rsid w:val="008B2C6A"/>
    <w:rsid w:val="008B3647"/>
    <w:rsid w:val="008B39FB"/>
    <w:rsid w:val="008C089F"/>
    <w:rsid w:val="008C46C0"/>
    <w:rsid w:val="008C562F"/>
    <w:rsid w:val="008C6EC7"/>
    <w:rsid w:val="008D2837"/>
    <w:rsid w:val="008D4283"/>
    <w:rsid w:val="008E3E65"/>
    <w:rsid w:val="008E45DF"/>
    <w:rsid w:val="008E4ABB"/>
    <w:rsid w:val="008E6B66"/>
    <w:rsid w:val="008E6DC9"/>
    <w:rsid w:val="008E733F"/>
    <w:rsid w:val="008F20DE"/>
    <w:rsid w:val="008F3233"/>
    <w:rsid w:val="00900B3F"/>
    <w:rsid w:val="00904155"/>
    <w:rsid w:val="0090421D"/>
    <w:rsid w:val="009050DC"/>
    <w:rsid w:val="009063DB"/>
    <w:rsid w:val="0090732C"/>
    <w:rsid w:val="00907652"/>
    <w:rsid w:val="0090796B"/>
    <w:rsid w:val="00907B86"/>
    <w:rsid w:val="009110CF"/>
    <w:rsid w:val="00916A60"/>
    <w:rsid w:val="0091735D"/>
    <w:rsid w:val="00923D02"/>
    <w:rsid w:val="0092555B"/>
    <w:rsid w:val="00927F7C"/>
    <w:rsid w:val="009318B9"/>
    <w:rsid w:val="00940A89"/>
    <w:rsid w:val="00941C64"/>
    <w:rsid w:val="009446F4"/>
    <w:rsid w:val="00946543"/>
    <w:rsid w:val="00956522"/>
    <w:rsid w:val="0096327B"/>
    <w:rsid w:val="00964778"/>
    <w:rsid w:val="0096741F"/>
    <w:rsid w:val="00974E82"/>
    <w:rsid w:val="009779A2"/>
    <w:rsid w:val="00980A84"/>
    <w:rsid w:val="009836D3"/>
    <w:rsid w:val="00983C04"/>
    <w:rsid w:val="00984891"/>
    <w:rsid w:val="009872EE"/>
    <w:rsid w:val="00997C46"/>
    <w:rsid w:val="009A0AF5"/>
    <w:rsid w:val="009A3433"/>
    <w:rsid w:val="009B0946"/>
    <w:rsid w:val="009B2359"/>
    <w:rsid w:val="009B42AA"/>
    <w:rsid w:val="009B5407"/>
    <w:rsid w:val="009B6A42"/>
    <w:rsid w:val="009B75EC"/>
    <w:rsid w:val="009C1283"/>
    <w:rsid w:val="009C2224"/>
    <w:rsid w:val="009C2C13"/>
    <w:rsid w:val="009C37AA"/>
    <w:rsid w:val="009C70AA"/>
    <w:rsid w:val="009C7922"/>
    <w:rsid w:val="009D348B"/>
    <w:rsid w:val="009D5A74"/>
    <w:rsid w:val="009D776B"/>
    <w:rsid w:val="009E0536"/>
    <w:rsid w:val="009E1005"/>
    <w:rsid w:val="009E1ED1"/>
    <w:rsid w:val="009E6351"/>
    <w:rsid w:val="009E7CD3"/>
    <w:rsid w:val="009F1ABF"/>
    <w:rsid w:val="009F55FA"/>
    <w:rsid w:val="00A027A1"/>
    <w:rsid w:val="00A0371A"/>
    <w:rsid w:val="00A03F8F"/>
    <w:rsid w:val="00A0470B"/>
    <w:rsid w:val="00A10B9A"/>
    <w:rsid w:val="00A1622F"/>
    <w:rsid w:val="00A163CC"/>
    <w:rsid w:val="00A173DF"/>
    <w:rsid w:val="00A2221D"/>
    <w:rsid w:val="00A22699"/>
    <w:rsid w:val="00A22FF8"/>
    <w:rsid w:val="00A236E1"/>
    <w:rsid w:val="00A252DB"/>
    <w:rsid w:val="00A25EA2"/>
    <w:rsid w:val="00A266A5"/>
    <w:rsid w:val="00A27ACC"/>
    <w:rsid w:val="00A27AE1"/>
    <w:rsid w:val="00A35B9F"/>
    <w:rsid w:val="00A36597"/>
    <w:rsid w:val="00A36B63"/>
    <w:rsid w:val="00A42D29"/>
    <w:rsid w:val="00A50A3B"/>
    <w:rsid w:val="00A51CF3"/>
    <w:rsid w:val="00A528E8"/>
    <w:rsid w:val="00A545B9"/>
    <w:rsid w:val="00A559AF"/>
    <w:rsid w:val="00A55DFF"/>
    <w:rsid w:val="00A57687"/>
    <w:rsid w:val="00A65CDB"/>
    <w:rsid w:val="00A723D0"/>
    <w:rsid w:val="00A7752C"/>
    <w:rsid w:val="00A8029F"/>
    <w:rsid w:val="00A82331"/>
    <w:rsid w:val="00A827EC"/>
    <w:rsid w:val="00A82D5B"/>
    <w:rsid w:val="00A84AFC"/>
    <w:rsid w:val="00A85203"/>
    <w:rsid w:val="00A86440"/>
    <w:rsid w:val="00A90C24"/>
    <w:rsid w:val="00A90D4F"/>
    <w:rsid w:val="00A9104C"/>
    <w:rsid w:val="00A93B31"/>
    <w:rsid w:val="00A94019"/>
    <w:rsid w:val="00A949F1"/>
    <w:rsid w:val="00A96FCE"/>
    <w:rsid w:val="00AA0E49"/>
    <w:rsid w:val="00AA11BD"/>
    <w:rsid w:val="00AA26F0"/>
    <w:rsid w:val="00AA2CB0"/>
    <w:rsid w:val="00AA36AD"/>
    <w:rsid w:val="00AA3FB9"/>
    <w:rsid w:val="00AA4336"/>
    <w:rsid w:val="00AA4C3F"/>
    <w:rsid w:val="00AA5BF0"/>
    <w:rsid w:val="00AA73C4"/>
    <w:rsid w:val="00AB2BF7"/>
    <w:rsid w:val="00AB3C4D"/>
    <w:rsid w:val="00AB50DA"/>
    <w:rsid w:val="00AB57A0"/>
    <w:rsid w:val="00AC12E8"/>
    <w:rsid w:val="00AC18F1"/>
    <w:rsid w:val="00AC2BE3"/>
    <w:rsid w:val="00AC3355"/>
    <w:rsid w:val="00AC35F3"/>
    <w:rsid w:val="00AC432B"/>
    <w:rsid w:val="00AC6253"/>
    <w:rsid w:val="00AD32BC"/>
    <w:rsid w:val="00AD3B66"/>
    <w:rsid w:val="00AD776F"/>
    <w:rsid w:val="00AD787B"/>
    <w:rsid w:val="00AD7A78"/>
    <w:rsid w:val="00AE3B43"/>
    <w:rsid w:val="00AE5A45"/>
    <w:rsid w:val="00AE7802"/>
    <w:rsid w:val="00AF07D6"/>
    <w:rsid w:val="00AF6010"/>
    <w:rsid w:val="00AF6647"/>
    <w:rsid w:val="00B02901"/>
    <w:rsid w:val="00B047B3"/>
    <w:rsid w:val="00B053D2"/>
    <w:rsid w:val="00B137CD"/>
    <w:rsid w:val="00B20619"/>
    <w:rsid w:val="00B20721"/>
    <w:rsid w:val="00B25CE4"/>
    <w:rsid w:val="00B342BE"/>
    <w:rsid w:val="00B35169"/>
    <w:rsid w:val="00B45319"/>
    <w:rsid w:val="00B514E3"/>
    <w:rsid w:val="00B51FDB"/>
    <w:rsid w:val="00B53053"/>
    <w:rsid w:val="00B63243"/>
    <w:rsid w:val="00B65C05"/>
    <w:rsid w:val="00B72AD8"/>
    <w:rsid w:val="00B73C22"/>
    <w:rsid w:val="00B75231"/>
    <w:rsid w:val="00B76394"/>
    <w:rsid w:val="00B808CC"/>
    <w:rsid w:val="00B80C71"/>
    <w:rsid w:val="00B843BD"/>
    <w:rsid w:val="00B8494D"/>
    <w:rsid w:val="00B86DEB"/>
    <w:rsid w:val="00B87A0C"/>
    <w:rsid w:val="00B91C99"/>
    <w:rsid w:val="00B94792"/>
    <w:rsid w:val="00B96B16"/>
    <w:rsid w:val="00BA0679"/>
    <w:rsid w:val="00BA18DA"/>
    <w:rsid w:val="00BA326E"/>
    <w:rsid w:val="00BA57AD"/>
    <w:rsid w:val="00BB177E"/>
    <w:rsid w:val="00BB6AB4"/>
    <w:rsid w:val="00BC0155"/>
    <w:rsid w:val="00BC0437"/>
    <w:rsid w:val="00BC2BA1"/>
    <w:rsid w:val="00BC4FAB"/>
    <w:rsid w:val="00BC7BEF"/>
    <w:rsid w:val="00BD0DD9"/>
    <w:rsid w:val="00BD16F3"/>
    <w:rsid w:val="00BD767F"/>
    <w:rsid w:val="00BD7D1D"/>
    <w:rsid w:val="00BE2445"/>
    <w:rsid w:val="00BE3E79"/>
    <w:rsid w:val="00BE4CF7"/>
    <w:rsid w:val="00BE515D"/>
    <w:rsid w:val="00BE5D3D"/>
    <w:rsid w:val="00BE6653"/>
    <w:rsid w:val="00BE6F92"/>
    <w:rsid w:val="00BE6FA9"/>
    <w:rsid w:val="00BE7424"/>
    <w:rsid w:val="00BF2E68"/>
    <w:rsid w:val="00BF66BF"/>
    <w:rsid w:val="00BF6FD6"/>
    <w:rsid w:val="00C00577"/>
    <w:rsid w:val="00C02944"/>
    <w:rsid w:val="00C06C48"/>
    <w:rsid w:val="00C119E4"/>
    <w:rsid w:val="00C13601"/>
    <w:rsid w:val="00C16782"/>
    <w:rsid w:val="00C176FA"/>
    <w:rsid w:val="00C2030C"/>
    <w:rsid w:val="00C27AAA"/>
    <w:rsid w:val="00C31BE3"/>
    <w:rsid w:val="00C34DD6"/>
    <w:rsid w:val="00C357EB"/>
    <w:rsid w:val="00C407B5"/>
    <w:rsid w:val="00C42AD0"/>
    <w:rsid w:val="00C4479F"/>
    <w:rsid w:val="00C45BD6"/>
    <w:rsid w:val="00C45F41"/>
    <w:rsid w:val="00C47353"/>
    <w:rsid w:val="00C507DA"/>
    <w:rsid w:val="00C53308"/>
    <w:rsid w:val="00C5424A"/>
    <w:rsid w:val="00C543E6"/>
    <w:rsid w:val="00C565C3"/>
    <w:rsid w:val="00C57DE8"/>
    <w:rsid w:val="00C61E11"/>
    <w:rsid w:val="00C67914"/>
    <w:rsid w:val="00C76BD9"/>
    <w:rsid w:val="00C81955"/>
    <w:rsid w:val="00C82822"/>
    <w:rsid w:val="00C834BE"/>
    <w:rsid w:val="00C83E7F"/>
    <w:rsid w:val="00C840C4"/>
    <w:rsid w:val="00C84DA7"/>
    <w:rsid w:val="00C84E70"/>
    <w:rsid w:val="00C944C0"/>
    <w:rsid w:val="00CA1254"/>
    <w:rsid w:val="00CA366D"/>
    <w:rsid w:val="00CA48F0"/>
    <w:rsid w:val="00CA50FC"/>
    <w:rsid w:val="00CA56D8"/>
    <w:rsid w:val="00CB1250"/>
    <w:rsid w:val="00CB184D"/>
    <w:rsid w:val="00CB2C4B"/>
    <w:rsid w:val="00CB3B5A"/>
    <w:rsid w:val="00CB4A21"/>
    <w:rsid w:val="00CC3EBD"/>
    <w:rsid w:val="00CC436B"/>
    <w:rsid w:val="00CC4EF1"/>
    <w:rsid w:val="00CC52D5"/>
    <w:rsid w:val="00CC6648"/>
    <w:rsid w:val="00CF00C9"/>
    <w:rsid w:val="00CF0C06"/>
    <w:rsid w:val="00CF6C6E"/>
    <w:rsid w:val="00D03308"/>
    <w:rsid w:val="00D121FD"/>
    <w:rsid w:val="00D1297A"/>
    <w:rsid w:val="00D16E51"/>
    <w:rsid w:val="00D179F0"/>
    <w:rsid w:val="00D2045B"/>
    <w:rsid w:val="00D21F24"/>
    <w:rsid w:val="00D227E1"/>
    <w:rsid w:val="00D25248"/>
    <w:rsid w:val="00D254EF"/>
    <w:rsid w:val="00D256EC"/>
    <w:rsid w:val="00D301D9"/>
    <w:rsid w:val="00D31DBF"/>
    <w:rsid w:val="00D31DD7"/>
    <w:rsid w:val="00D37FB3"/>
    <w:rsid w:val="00D40404"/>
    <w:rsid w:val="00D41CAD"/>
    <w:rsid w:val="00D42555"/>
    <w:rsid w:val="00D43E17"/>
    <w:rsid w:val="00D442B2"/>
    <w:rsid w:val="00D44AF6"/>
    <w:rsid w:val="00D45452"/>
    <w:rsid w:val="00D46E19"/>
    <w:rsid w:val="00D478E7"/>
    <w:rsid w:val="00D5083A"/>
    <w:rsid w:val="00D50F68"/>
    <w:rsid w:val="00D52732"/>
    <w:rsid w:val="00D532D9"/>
    <w:rsid w:val="00D55304"/>
    <w:rsid w:val="00D5706E"/>
    <w:rsid w:val="00D63F80"/>
    <w:rsid w:val="00D647AC"/>
    <w:rsid w:val="00D64F4C"/>
    <w:rsid w:val="00D66E1F"/>
    <w:rsid w:val="00D67EF5"/>
    <w:rsid w:val="00D70E04"/>
    <w:rsid w:val="00D71D77"/>
    <w:rsid w:val="00D74FFD"/>
    <w:rsid w:val="00D75362"/>
    <w:rsid w:val="00D760DC"/>
    <w:rsid w:val="00D764AE"/>
    <w:rsid w:val="00D768CE"/>
    <w:rsid w:val="00D76B6D"/>
    <w:rsid w:val="00D7775A"/>
    <w:rsid w:val="00D80FC6"/>
    <w:rsid w:val="00D81F34"/>
    <w:rsid w:val="00D82CDE"/>
    <w:rsid w:val="00D84DC0"/>
    <w:rsid w:val="00D850F7"/>
    <w:rsid w:val="00D877F5"/>
    <w:rsid w:val="00D907AB"/>
    <w:rsid w:val="00D90DE5"/>
    <w:rsid w:val="00D912A9"/>
    <w:rsid w:val="00D932E6"/>
    <w:rsid w:val="00D93512"/>
    <w:rsid w:val="00D950CC"/>
    <w:rsid w:val="00D965A7"/>
    <w:rsid w:val="00DA110C"/>
    <w:rsid w:val="00DA2A01"/>
    <w:rsid w:val="00DA2E5D"/>
    <w:rsid w:val="00DA72E6"/>
    <w:rsid w:val="00DB4DB4"/>
    <w:rsid w:val="00DC1FC4"/>
    <w:rsid w:val="00DC2184"/>
    <w:rsid w:val="00DC3A34"/>
    <w:rsid w:val="00DC4200"/>
    <w:rsid w:val="00DC423E"/>
    <w:rsid w:val="00DC66E9"/>
    <w:rsid w:val="00DC7452"/>
    <w:rsid w:val="00DD4214"/>
    <w:rsid w:val="00DD5A5A"/>
    <w:rsid w:val="00DD62D3"/>
    <w:rsid w:val="00DE08C2"/>
    <w:rsid w:val="00DE3BBA"/>
    <w:rsid w:val="00DE43AA"/>
    <w:rsid w:val="00DE700E"/>
    <w:rsid w:val="00DF24F8"/>
    <w:rsid w:val="00DF3F5B"/>
    <w:rsid w:val="00DF5943"/>
    <w:rsid w:val="00DF7747"/>
    <w:rsid w:val="00E027E1"/>
    <w:rsid w:val="00E02FCA"/>
    <w:rsid w:val="00E069ED"/>
    <w:rsid w:val="00E078CB"/>
    <w:rsid w:val="00E07D60"/>
    <w:rsid w:val="00E122FE"/>
    <w:rsid w:val="00E145EB"/>
    <w:rsid w:val="00E163EF"/>
    <w:rsid w:val="00E16BD4"/>
    <w:rsid w:val="00E17BEA"/>
    <w:rsid w:val="00E17CF8"/>
    <w:rsid w:val="00E2218B"/>
    <w:rsid w:val="00E25532"/>
    <w:rsid w:val="00E329FC"/>
    <w:rsid w:val="00E37990"/>
    <w:rsid w:val="00E424E3"/>
    <w:rsid w:val="00E43557"/>
    <w:rsid w:val="00E436C4"/>
    <w:rsid w:val="00E51521"/>
    <w:rsid w:val="00E52179"/>
    <w:rsid w:val="00E5367F"/>
    <w:rsid w:val="00E54A18"/>
    <w:rsid w:val="00E5561B"/>
    <w:rsid w:val="00E55CB2"/>
    <w:rsid w:val="00E57E87"/>
    <w:rsid w:val="00E62FD0"/>
    <w:rsid w:val="00E700F7"/>
    <w:rsid w:val="00E7358C"/>
    <w:rsid w:val="00E74DA6"/>
    <w:rsid w:val="00E76869"/>
    <w:rsid w:val="00E77EC0"/>
    <w:rsid w:val="00E8425C"/>
    <w:rsid w:val="00E84CDB"/>
    <w:rsid w:val="00E90F47"/>
    <w:rsid w:val="00E928A3"/>
    <w:rsid w:val="00E93246"/>
    <w:rsid w:val="00E93E3B"/>
    <w:rsid w:val="00E95F65"/>
    <w:rsid w:val="00EA3F07"/>
    <w:rsid w:val="00EB29D6"/>
    <w:rsid w:val="00EB310B"/>
    <w:rsid w:val="00EB3C15"/>
    <w:rsid w:val="00EB704C"/>
    <w:rsid w:val="00EB7C1B"/>
    <w:rsid w:val="00EC1375"/>
    <w:rsid w:val="00ED23C7"/>
    <w:rsid w:val="00ED3EA4"/>
    <w:rsid w:val="00ED702C"/>
    <w:rsid w:val="00EE2DF5"/>
    <w:rsid w:val="00EE3509"/>
    <w:rsid w:val="00EE458A"/>
    <w:rsid w:val="00EF3342"/>
    <w:rsid w:val="00EF471D"/>
    <w:rsid w:val="00EF78D6"/>
    <w:rsid w:val="00F0391F"/>
    <w:rsid w:val="00F06819"/>
    <w:rsid w:val="00F07281"/>
    <w:rsid w:val="00F11797"/>
    <w:rsid w:val="00F143A2"/>
    <w:rsid w:val="00F16A99"/>
    <w:rsid w:val="00F17E91"/>
    <w:rsid w:val="00F303CF"/>
    <w:rsid w:val="00F3081D"/>
    <w:rsid w:val="00F30875"/>
    <w:rsid w:val="00F339BC"/>
    <w:rsid w:val="00F33FCC"/>
    <w:rsid w:val="00F365A4"/>
    <w:rsid w:val="00F4034C"/>
    <w:rsid w:val="00F410E6"/>
    <w:rsid w:val="00F457B0"/>
    <w:rsid w:val="00F46730"/>
    <w:rsid w:val="00F4756E"/>
    <w:rsid w:val="00F5036E"/>
    <w:rsid w:val="00F52C4A"/>
    <w:rsid w:val="00F5381C"/>
    <w:rsid w:val="00F53D61"/>
    <w:rsid w:val="00F54C7D"/>
    <w:rsid w:val="00F55971"/>
    <w:rsid w:val="00F56516"/>
    <w:rsid w:val="00F5655B"/>
    <w:rsid w:val="00F64334"/>
    <w:rsid w:val="00F65CAE"/>
    <w:rsid w:val="00F67E08"/>
    <w:rsid w:val="00F703B6"/>
    <w:rsid w:val="00F703DB"/>
    <w:rsid w:val="00F7046C"/>
    <w:rsid w:val="00F71A9A"/>
    <w:rsid w:val="00F71F33"/>
    <w:rsid w:val="00F72115"/>
    <w:rsid w:val="00F73C44"/>
    <w:rsid w:val="00F74604"/>
    <w:rsid w:val="00F778ED"/>
    <w:rsid w:val="00F80B76"/>
    <w:rsid w:val="00F816C6"/>
    <w:rsid w:val="00F82D47"/>
    <w:rsid w:val="00F84E69"/>
    <w:rsid w:val="00F86C4D"/>
    <w:rsid w:val="00F91FB1"/>
    <w:rsid w:val="00FA0EED"/>
    <w:rsid w:val="00FA336E"/>
    <w:rsid w:val="00FA35CB"/>
    <w:rsid w:val="00FA59EC"/>
    <w:rsid w:val="00FB17EC"/>
    <w:rsid w:val="00FB3DD6"/>
    <w:rsid w:val="00FC07B8"/>
    <w:rsid w:val="00FC09C5"/>
    <w:rsid w:val="00FC1AA1"/>
    <w:rsid w:val="00FC2A42"/>
    <w:rsid w:val="00FC531A"/>
    <w:rsid w:val="00FD60E4"/>
    <w:rsid w:val="00FE0AE1"/>
    <w:rsid w:val="00FE1A0D"/>
    <w:rsid w:val="00FE258A"/>
    <w:rsid w:val="00FE4ECC"/>
    <w:rsid w:val="00FE6F56"/>
    <w:rsid w:val="00FF0639"/>
    <w:rsid w:val="00FF1D6C"/>
    <w:rsid w:val="00FF2505"/>
    <w:rsid w:val="00FF2C90"/>
    <w:rsid w:val="00FF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EAAA"/>
  <w15:docId w15:val="{412A791D-9F84-48D7-9F10-ED3CA46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8C"/>
    <w:pPr>
      <w:keepNext/>
      <w:suppressAutoHyphens/>
      <w:spacing w:before="120" w:after="240"/>
      <w:jc w:val="both"/>
    </w:pPr>
    <w:rPr>
      <w:sz w:val="24"/>
      <w:szCs w:val="24"/>
      <w:lang w:val="en-AU" w:eastAsia="ar-SA"/>
    </w:rPr>
  </w:style>
  <w:style w:type="paragraph" w:styleId="Heading1">
    <w:name w:val="heading 1"/>
    <w:basedOn w:val="Normal"/>
    <w:next w:val="Normal"/>
    <w:qFormat/>
    <w:rsid w:val="00F5381C"/>
    <w:pPr>
      <w:pageBreakBefore/>
      <w:numPr>
        <w:numId w:val="3"/>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autoRedefine/>
    <w:qFormat/>
    <w:rsid w:val="0016011C"/>
    <w:pPr>
      <w:numPr>
        <w:ilvl w:val="1"/>
        <w:numId w:val="3"/>
      </w:numPr>
      <w:spacing w:before="240" w:after="60"/>
      <w:outlineLvl w:val="1"/>
    </w:pPr>
    <w:rPr>
      <w:rFonts w:ascii="Arial" w:hAnsi="Arial" w:cs="Arial"/>
      <w:b/>
      <w:bCs/>
      <w:i/>
      <w:iCs/>
      <w:sz w:val="28"/>
      <w:szCs w:val="28"/>
      <w:lang w:eastAsia="en-AU"/>
    </w:rPr>
  </w:style>
  <w:style w:type="paragraph" w:styleId="Heading3">
    <w:name w:val="heading 3"/>
    <w:basedOn w:val="Normal"/>
    <w:next w:val="Normal"/>
    <w:qFormat/>
    <w:rsid w:val="00E7358C"/>
    <w:pPr>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C47353"/>
    <w:pPr>
      <w:numPr>
        <w:ilvl w:val="3"/>
        <w:numId w:val="3"/>
      </w:numPr>
      <w:spacing w:before="240" w:after="60"/>
      <w:outlineLvl w:val="3"/>
    </w:pPr>
    <w:rPr>
      <w:rFonts w:ascii="Arial" w:hAnsi="Arial"/>
      <w:b/>
      <w:bCs/>
      <w:szCs w:val="28"/>
    </w:rPr>
  </w:style>
  <w:style w:type="paragraph" w:styleId="Heading5">
    <w:name w:val="heading 5"/>
    <w:basedOn w:val="Normal"/>
    <w:next w:val="Normal"/>
    <w:link w:val="Heading5Char"/>
    <w:uiPriority w:val="9"/>
    <w:semiHidden/>
    <w:unhideWhenUsed/>
    <w:qFormat/>
    <w:rsid w:val="0016011C"/>
    <w:pPr>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011C"/>
    <w:pPr>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011C"/>
    <w:pPr>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011C"/>
    <w:pPr>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011C"/>
    <w:pPr>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86C4D"/>
    <w:rPr>
      <w:rFonts w:ascii="Times New Roman" w:hAnsi="Times New Roman"/>
    </w:rPr>
  </w:style>
  <w:style w:type="character" w:customStyle="1" w:styleId="WW8Num9z0">
    <w:name w:val="WW8Num9z0"/>
    <w:rsid w:val="00F86C4D"/>
    <w:rPr>
      <w:rFonts w:ascii="Symbol" w:hAnsi="Symbol"/>
    </w:rPr>
  </w:style>
  <w:style w:type="character" w:customStyle="1" w:styleId="WW8Num9z1">
    <w:name w:val="WW8Num9z1"/>
    <w:rsid w:val="00F86C4D"/>
    <w:rPr>
      <w:rFonts w:ascii="Courier New" w:hAnsi="Courier New" w:cs="Courier New"/>
    </w:rPr>
  </w:style>
  <w:style w:type="character" w:customStyle="1" w:styleId="WW8Num9z2">
    <w:name w:val="WW8Num9z2"/>
    <w:rsid w:val="00F86C4D"/>
    <w:rPr>
      <w:rFonts w:ascii="Wingdings" w:hAnsi="Wingdings"/>
    </w:rPr>
  </w:style>
  <w:style w:type="character" w:styleId="Hyperlink">
    <w:name w:val="Hyperlink"/>
    <w:basedOn w:val="DefaultParagraphFont"/>
    <w:uiPriority w:val="99"/>
    <w:rsid w:val="00F86C4D"/>
    <w:rPr>
      <w:color w:val="0000FF"/>
      <w:u w:val="single"/>
    </w:rPr>
  </w:style>
  <w:style w:type="character" w:styleId="PageNumber">
    <w:name w:val="page number"/>
    <w:basedOn w:val="DefaultParagraphFont"/>
    <w:rsid w:val="00F86C4D"/>
  </w:style>
  <w:style w:type="paragraph" w:customStyle="1" w:styleId="Heading">
    <w:name w:val="Heading"/>
    <w:basedOn w:val="Normal"/>
    <w:next w:val="BodyText"/>
    <w:rsid w:val="00F86C4D"/>
    <w:pPr>
      <w:spacing w:before="240" w:after="120"/>
    </w:pPr>
    <w:rPr>
      <w:rFonts w:ascii="Arial" w:eastAsia="MS Mincho" w:hAnsi="Arial" w:cs="Tahoma"/>
      <w:sz w:val="28"/>
      <w:szCs w:val="28"/>
    </w:rPr>
  </w:style>
  <w:style w:type="paragraph" w:styleId="BodyText">
    <w:name w:val="Body Text"/>
    <w:basedOn w:val="Normal"/>
    <w:rsid w:val="00F86C4D"/>
    <w:pPr>
      <w:spacing w:before="0" w:after="120"/>
    </w:pPr>
  </w:style>
  <w:style w:type="paragraph" w:styleId="List">
    <w:name w:val="List"/>
    <w:basedOn w:val="BodyText"/>
    <w:rsid w:val="00F86C4D"/>
    <w:rPr>
      <w:rFonts w:ascii="Arial" w:hAnsi="Arial" w:cs="Tahoma"/>
    </w:rPr>
  </w:style>
  <w:style w:type="paragraph" w:styleId="Caption">
    <w:name w:val="caption"/>
    <w:basedOn w:val="Normal"/>
    <w:qFormat/>
    <w:rsid w:val="00F86C4D"/>
    <w:pPr>
      <w:suppressLineNumbers/>
      <w:spacing w:after="120"/>
    </w:pPr>
    <w:rPr>
      <w:rFonts w:ascii="Verdana" w:hAnsi="Verdana" w:cs="Tahoma"/>
      <w:i/>
      <w:iCs/>
    </w:rPr>
  </w:style>
  <w:style w:type="paragraph" w:customStyle="1" w:styleId="Index">
    <w:name w:val="Index"/>
    <w:basedOn w:val="Normal"/>
    <w:rsid w:val="00F86C4D"/>
    <w:pPr>
      <w:suppressLineNumbers/>
    </w:pPr>
    <w:rPr>
      <w:rFonts w:ascii="Verdana" w:hAnsi="Verdana" w:cs="Tahoma"/>
    </w:rPr>
  </w:style>
  <w:style w:type="paragraph" w:styleId="Header">
    <w:name w:val="header"/>
    <w:basedOn w:val="Normal"/>
    <w:rsid w:val="00F86C4D"/>
    <w:pPr>
      <w:tabs>
        <w:tab w:val="center" w:pos="4320"/>
        <w:tab w:val="right" w:pos="8640"/>
      </w:tabs>
    </w:pPr>
  </w:style>
  <w:style w:type="paragraph" w:styleId="Footer">
    <w:name w:val="footer"/>
    <w:basedOn w:val="Normal"/>
    <w:rsid w:val="00F86C4D"/>
    <w:pPr>
      <w:tabs>
        <w:tab w:val="center" w:pos="4320"/>
        <w:tab w:val="right" w:pos="8640"/>
      </w:tabs>
    </w:pPr>
  </w:style>
  <w:style w:type="paragraph" w:customStyle="1" w:styleId="StyleBulleted">
    <w:name w:val="Style Bulleted"/>
    <w:basedOn w:val="Normal"/>
    <w:rsid w:val="00F86C4D"/>
    <w:pPr>
      <w:numPr>
        <w:numId w:val="1"/>
      </w:numPr>
    </w:pPr>
  </w:style>
  <w:style w:type="paragraph" w:customStyle="1" w:styleId="TableHeader">
    <w:name w:val="Table Header"/>
    <w:basedOn w:val="Normal"/>
    <w:rsid w:val="00F86C4D"/>
    <w:rPr>
      <w:rFonts w:ascii="Arial" w:hAnsi="Arial"/>
      <w:b/>
    </w:rPr>
  </w:style>
  <w:style w:type="paragraph" w:styleId="TOC1">
    <w:name w:val="toc 1"/>
    <w:basedOn w:val="Normal"/>
    <w:next w:val="Normal"/>
    <w:uiPriority w:val="39"/>
    <w:rsid w:val="00F86C4D"/>
    <w:pPr>
      <w:spacing w:after="120"/>
      <w:jc w:val="left"/>
    </w:pPr>
    <w:rPr>
      <w:rFonts w:asciiTheme="minorHAnsi" w:hAnsiTheme="minorHAnsi" w:cstheme="minorHAnsi"/>
      <w:b/>
      <w:bCs/>
      <w:caps/>
      <w:sz w:val="20"/>
      <w:szCs w:val="20"/>
    </w:rPr>
  </w:style>
  <w:style w:type="paragraph" w:styleId="TOC2">
    <w:name w:val="toc 2"/>
    <w:basedOn w:val="Normal"/>
    <w:next w:val="Normal"/>
    <w:uiPriority w:val="39"/>
    <w:rsid w:val="00F86C4D"/>
    <w:pPr>
      <w:spacing w:before="0" w:after="0"/>
      <w:ind w:left="240"/>
      <w:jc w:val="left"/>
    </w:pPr>
    <w:rPr>
      <w:rFonts w:asciiTheme="minorHAnsi" w:hAnsiTheme="minorHAnsi" w:cstheme="minorHAnsi"/>
      <w:smallCaps/>
      <w:sz w:val="20"/>
      <w:szCs w:val="20"/>
    </w:rPr>
  </w:style>
  <w:style w:type="paragraph" w:customStyle="1" w:styleId="TableOfContents">
    <w:name w:val="TableOfContents"/>
    <w:basedOn w:val="Normal"/>
    <w:rsid w:val="00F86C4D"/>
    <w:rPr>
      <w:rFonts w:ascii="Arial" w:hAnsi="Arial" w:cs="Arial"/>
      <w:b/>
      <w:sz w:val="32"/>
      <w:szCs w:val="32"/>
      <w:lang w:val="en-US"/>
    </w:rPr>
  </w:style>
  <w:style w:type="paragraph" w:styleId="BalloonText">
    <w:name w:val="Balloon Text"/>
    <w:basedOn w:val="Normal"/>
    <w:rsid w:val="00F86C4D"/>
    <w:rPr>
      <w:rFonts w:ascii="Tahoma" w:hAnsi="Tahoma" w:cs="Tahoma"/>
      <w:sz w:val="16"/>
      <w:szCs w:val="16"/>
    </w:rPr>
  </w:style>
  <w:style w:type="paragraph" w:customStyle="1" w:styleId="Framecontents">
    <w:name w:val="Frame contents"/>
    <w:basedOn w:val="BodyText"/>
    <w:rsid w:val="00F86C4D"/>
  </w:style>
  <w:style w:type="paragraph" w:styleId="TOC3">
    <w:name w:val="toc 3"/>
    <w:basedOn w:val="Index"/>
    <w:uiPriority w:val="39"/>
    <w:rsid w:val="00F86C4D"/>
    <w:pPr>
      <w:suppressLineNumbers w:val="0"/>
      <w:spacing w:before="0" w:after="0"/>
      <w:ind w:left="480"/>
      <w:jc w:val="left"/>
    </w:pPr>
    <w:rPr>
      <w:rFonts w:asciiTheme="minorHAnsi" w:hAnsiTheme="minorHAnsi" w:cstheme="minorHAnsi"/>
      <w:i/>
      <w:iCs/>
      <w:sz w:val="20"/>
      <w:szCs w:val="20"/>
    </w:rPr>
  </w:style>
  <w:style w:type="paragraph" w:styleId="TOC4">
    <w:name w:val="toc 4"/>
    <w:basedOn w:val="Index"/>
    <w:semiHidden/>
    <w:rsid w:val="00F86C4D"/>
    <w:pPr>
      <w:suppressLineNumbers w:val="0"/>
      <w:spacing w:before="0" w:after="0"/>
      <w:ind w:left="720"/>
      <w:jc w:val="left"/>
    </w:pPr>
    <w:rPr>
      <w:rFonts w:asciiTheme="minorHAnsi" w:hAnsiTheme="minorHAnsi" w:cstheme="minorHAnsi"/>
      <w:sz w:val="18"/>
      <w:szCs w:val="18"/>
    </w:rPr>
  </w:style>
  <w:style w:type="paragraph" w:styleId="TOC5">
    <w:name w:val="toc 5"/>
    <w:basedOn w:val="Index"/>
    <w:semiHidden/>
    <w:rsid w:val="00F86C4D"/>
    <w:pPr>
      <w:suppressLineNumbers w:val="0"/>
      <w:spacing w:before="0" w:after="0"/>
      <w:ind w:left="960"/>
      <w:jc w:val="left"/>
    </w:pPr>
    <w:rPr>
      <w:rFonts w:asciiTheme="minorHAnsi" w:hAnsiTheme="minorHAnsi" w:cstheme="minorHAnsi"/>
      <w:sz w:val="18"/>
      <w:szCs w:val="18"/>
    </w:rPr>
  </w:style>
  <w:style w:type="paragraph" w:styleId="TOC6">
    <w:name w:val="toc 6"/>
    <w:basedOn w:val="Index"/>
    <w:semiHidden/>
    <w:rsid w:val="00F86C4D"/>
    <w:pPr>
      <w:suppressLineNumbers w:val="0"/>
      <w:spacing w:before="0" w:after="0"/>
      <w:ind w:left="1200"/>
      <w:jc w:val="left"/>
    </w:pPr>
    <w:rPr>
      <w:rFonts w:asciiTheme="minorHAnsi" w:hAnsiTheme="minorHAnsi" w:cstheme="minorHAnsi"/>
      <w:sz w:val="18"/>
      <w:szCs w:val="18"/>
    </w:rPr>
  </w:style>
  <w:style w:type="paragraph" w:styleId="TOC7">
    <w:name w:val="toc 7"/>
    <w:basedOn w:val="Index"/>
    <w:semiHidden/>
    <w:rsid w:val="00F86C4D"/>
    <w:pPr>
      <w:suppressLineNumbers w:val="0"/>
      <w:spacing w:before="0" w:after="0"/>
      <w:ind w:left="1440"/>
      <w:jc w:val="left"/>
    </w:pPr>
    <w:rPr>
      <w:rFonts w:asciiTheme="minorHAnsi" w:hAnsiTheme="minorHAnsi" w:cstheme="minorHAnsi"/>
      <w:sz w:val="18"/>
      <w:szCs w:val="18"/>
    </w:rPr>
  </w:style>
  <w:style w:type="paragraph" w:styleId="TOC8">
    <w:name w:val="toc 8"/>
    <w:basedOn w:val="Index"/>
    <w:semiHidden/>
    <w:rsid w:val="00F86C4D"/>
    <w:pPr>
      <w:suppressLineNumbers w:val="0"/>
      <w:spacing w:before="0" w:after="0"/>
      <w:ind w:left="1680"/>
      <w:jc w:val="left"/>
    </w:pPr>
    <w:rPr>
      <w:rFonts w:asciiTheme="minorHAnsi" w:hAnsiTheme="minorHAnsi" w:cstheme="minorHAnsi"/>
      <w:sz w:val="18"/>
      <w:szCs w:val="18"/>
    </w:rPr>
  </w:style>
  <w:style w:type="paragraph" w:styleId="TOC9">
    <w:name w:val="toc 9"/>
    <w:basedOn w:val="Index"/>
    <w:semiHidden/>
    <w:rsid w:val="00F86C4D"/>
    <w:pPr>
      <w:suppressLineNumbers w:val="0"/>
      <w:spacing w:before="0" w:after="0"/>
      <w:ind w:left="1920"/>
      <w:jc w:val="left"/>
    </w:pPr>
    <w:rPr>
      <w:rFonts w:asciiTheme="minorHAnsi" w:hAnsiTheme="minorHAnsi" w:cstheme="minorHAnsi"/>
      <w:sz w:val="18"/>
      <w:szCs w:val="18"/>
    </w:rPr>
  </w:style>
  <w:style w:type="paragraph" w:customStyle="1" w:styleId="Contents10">
    <w:name w:val="Contents 10"/>
    <w:basedOn w:val="Index"/>
    <w:rsid w:val="00F86C4D"/>
    <w:pPr>
      <w:tabs>
        <w:tab w:val="right" w:leader="dot" w:pos="9637"/>
      </w:tabs>
      <w:ind w:left="2547"/>
    </w:pPr>
  </w:style>
  <w:style w:type="paragraph" w:customStyle="1" w:styleId="TableContents">
    <w:name w:val="Table Contents"/>
    <w:basedOn w:val="Normal"/>
    <w:rsid w:val="00F86C4D"/>
    <w:pPr>
      <w:suppressLineNumbers/>
    </w:pPr>
  </w:style>
  <w:style w:type="paragraph" w:customStyle="1" w:styleId="TableHeading">
    <w:name w:val="Table Heading"/>
    <w:basedOn w:val="TableContents"/>
    <w:rsid w:val="00F86C4D"/>
    <w:pPr>
      <w:jc w:val="center"/>
    </w:pPr>
    <w:rPr>
      <w:b/>
      <w:bCs/>
    </w:rPr>
  </w:style>
  <w:style w:type="paragraph" w:customStyle="1" w:styleId="nhsnormal">
    <w:name w:val="nhsnormal"/>
    <w:basedOn w:val="Normal"/>
    <w:rsid w:val="002E42BC"/>
    <w:pPr>
      <w:keepNext w:val="0"/>
      <w:overflowPunct w:val="0"/>
      <w:autoSpaceDE w:val="0"/>
      <w:spacing w:before="0" w:after="0"/>
      <w:jc w:val="left"/>
    </w:pPr>
    <w:rPr>
      <w:sz w:val="22"/>
      <w:szCs w:val="20"/>
      <w:lang w:val="en-GB"/>
    </w:rPr>
  </w:style>
  <w:style w:type="paragraph" w:styleId="Title">
    <w:name w:val="Title"/>
    <w:basedOn w:val="Normal"/>
    <w:qFormat/>
    <w:rsid w:val="008B39FB"/>
    <w:pPr>
      <w:spacing w:before="240" w:after="60"/>
      <w:jc w:val="center"/>
      <w:outlineLvl w:val="0"/>
    </w:pPr>
    <w:rPr>
      <w:rFonts w:ascii="Arial" w:hAnsi="Arial" w:cs="Arial"/>
      <w:b/>
      <w:bCs/>
      <w:kern w:val="28"/>
      <w:sz w:val="32"/>
      <w:szCs w:val="32"/>
    </w:rPr>
  </w:style>
  <w:style w:type="paragraph" w:customStyle="1" w:styleId="IndentedPara">
    <w:name w:val="Indented Para"/>
    <w:basedOn w:val="Normal"/>
    <w:link w:val="IndentedParaChar"/>
    <w:rsid w:val="008E3E65"/>
    <w:pPr>
      <w:keepNext w:val="0"/>
      <w:suppressAutoHyphens w:val="0"/>
      <w:spacing w:line="260" w:lineRule="atLeast"/>
      <w:ind w:left="1134"/>
    </w:pPr>
    <w:rPr>
      <w:rFonts w:ascii="Verdana" w:hAnsi="Verdana"/>
      <w:lang w:eastAsia="en-AU"/>
    </w:rPr>
  </w:style>
  <w:style w:type="character" w:customStyle="1" w:styleId="IndentedParaChar">
    <w:name w:val="Indented Para Char"/>
    <w:basedOn w:val="DefaultParagraphFont"/>
    <w:link w:val="IndentedPara"/>
    <w:rsid w:val="008E3E65"/>
    <w:rPr>
      <w:rFonts w:ascii="Verdana" w:hAnsi="Verdana"/>
      <w:sz w:val="24"/>
      <w:szCs w:val="24"/>
      <w:lang w:val="en-AU" w:eastAsia="en-AU" w:bidi="ar-SA"/>
    </w:rPr>
  </w:style>
  <w:style w:type="paragraph" w:styleId="ListBullet2">
    <w:name w:val="List Bullet 2"/>
    <w:basedOn w:val="Normal"/>
    <w:autoRedefine/>
    <w:rsid w:val="00320CE9"/>
    <w:pPr>
      <w:spacing w:after="120"/>
      <w:ind w:left="720"/>
    </w:pPr>
  </w:style>
  <w:style w:type="table" w:styleId="TableClassic2">
    <w:name w:val="Table Classic 2"/>
    <w:basedOn w:val="TableNormal"/>
    <w:rsid w:val="00DC4200"/>
    <w:pPr>
      <w:keepNext/>
      <w:suppressAutoHyphens/>
      <w:spacing w:before="120" w:after="240"/>
      <w:ind w:left="284"/>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2">
    <w:name w:val="List 2"/>
    <w:basedOn w:val="Normal"/>
    <w:rsid w:val="00A93B31"/>
    <w:pPr>
      <w:ind w:left="566" w:hanging="283"/>
    </w:pPr>
  </w:style>
  <w:style w:type="paragraph" w:styleId="ListBullet3">
    <w:name w:val="List Bullet 3"/>
    <w:basedOn w:val="Normal"/>
    <w:autoRedefine/>
    <w:rsid w:val="008E6B66"/>
    <w:pPr>
      <w:numPr>
        <w:numId w:val="2"/>
      </w:numPr>
      <w:ind w:left="1321" w:hanging="357"/>
    </w:pPr>
  </w:style>
  <w:style w:type="paragraph" w:customStyle="1" w:styleId="Code">
    <w:name w:val="Code"/>
    <w:basedOn w:val="Normal"/>
    <w:link w:val="CodeChar"/>
    <w:qFormat/>
    <w:rsid w:val="00BD7D1D"/>
    <w:pPr>
      <w:tabs>
        <w:tab w:val="left" w:pos="1021"/>
        <w:tab w:val="left" w:pos="1418"/>
        <w:tab w:val="left" w:pos="1814"/>
        <w:tab w:val="left" w:pos="2211"/>
        <w:tab w:val="left" w:pos="2608"/>
        <w:tab w:val="left" w:pos="3005"/>
      </w:tabs>
      <w:ind w:left="680"/>
      <w:contextualSpacing/>
      <w:jc w:val="left"/>
    </w:pPr>
    <w:rPr>
      <w:rFonts w:ascii="Courier New" w:hAnsi="Courier New" w:cs="Courier New"/>
      <w:sz w:val="22"/>
      <w:szCs w:val="22"/>
    </w:rPr>
  </w:style>
  <w:style w:type="paragraph" w:styleId="ListParagraph">
    <w:name w:val="List Paragraph"/>
    <w:basedOn w:val="Normal"/>
    <w:uiPriority w:val="34"/>
    <w:qFormat/>
    <w:rsid w:val="007E1AD0"/>
    <w:pPr>
      <w:ind w:left="720"/>
      <w:contextualSpacing/>
    </w:pPr>
  </w:style>
  <w:style w:type="character" w:customStyle="1" w:styleId="CodeChar">
    <w:name w:val="Code Char"/>
    <w:basedOn w:val="DefaultParagraphFont"/>
    <w:link w:val="Code"/>
    <w:rsid w:val="00BD7D1D"/>
    <w:rPr>
      <w:rFonts w:ascii="Courier New" w:hAnsi="Courier New" w:cs="Courier New"/>
      <w:sz w:val="22"/>
      <w:szCs w:val="22"/>
      <w:lang w:val="en-AU" w:eastAsia="ar-SA"/>
    </w:rPr>
  </w:style>
  <w:style w:type="table" w:styleId="TableGrid">
    <w:name w:val="Table Grid"/>
    <w:basedOn w:val="TableNormal"/>
    <w:uiPriority w:val="59"/>
    <w:rsid w:val="003813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187DC4"/>
    <w:rPr>
      <w:b/>
      <w:bCs/>
      <w:smallCaps/>
      <w:spacing w:val="5"/>
    </w:rPr>
  </w:style>
  <w:style w:type="paragraph" w:customStyle="1" w:styleId="Note">
    <w:name w:val="Note"/>
    <w:basedOn w:val="Normal"/>
    <w:link w:val="NoteChar"/>
    <w:qFormat/>
    <w:rsid w:val="006C0A0E"/>
    <w:pPr>
      <w:ind w:left="720"/>
    </w:pPr>
    <w:rPr>
      <w:rFonts w:ascii="Arial" w:hAnsi="Arial" w:cs="Arial"/>
      <w:b/>
      <w:color w:val="0070C0"/>
      <w:sz w:val="20"/>
      <w:szCs w:val="22"/>
      <w:lang w:val="en-GB"/>
    </w:rPr>
  </w:style>
  <w:style w:type="character" w:customStyle="1" w:styleId="NoteChar">
    <w:name w:val="Note Char"/>
    <w:basedOn w:val="DefaultParagraphFont"/>
    <w:link w:val="Note"/>
    <w:rsid w:val="006C0A0E"/>
    <w:rPr>
      <w:rFonts w:ascii="Arial" w:hAnsi="Arial" w:cs="Arial"/>
      <w:b/>
      <w:color w:val="0070C0"/>
      <w:szCs w:val="22"/>
      <w:lang w:eastAsia="ar-SA"/>
    </w:rPr>
  </w:style>
  <w:style w:type="paragraph" w:styleId="FootnoteText">
    <w:name w:val="footnote text"/>
    <w:basedOn w:val="Normal"/>
    <w:link w:val="FootnoteTextChar"/>
    <w:uiPriority w:val="99"/>
    <w:semiHidden/>
    <w:unhideWhenUsed/>
    <w:rsid w:val="00C06C48"/>
    <w:pPr>
      <w:spacing w:before="0" w:after="0"/>
    </w:pPr>
    <w:rPr>
      <w:sz w:val="20"/>
      <w:szCs w:val="20"/>
    </w:rPr>
  </w:style>
  <w:style w:type="character" w:customStyle="1" w:styleId="FootnoteTextChar">
    <w:name w:val="Footnote Text Char"/>
    <w:basedOn w:val="DefaultParagraphFont"/>
    <w:link w:val="FootnoteText"/>
    <w:uiPriority w:val="99"/>
    <w:semiHidden/>
    <w:rsid w:val="00C06C48"/>
    <w:rPr>
      <w:lang w:val="en-AU" w:eastAsia="ar-SA"/>
    </w:rPr>
  </w:style>
  <w:style w:type="character" w:styleId="FootnoteReference">
    <w:name w:val="footnote reference"/>
    <w:basedOn w:val="DefaultParagraphFont"/>
    <w:uiPriority w:val="99"/>
    <w:semiHidden/>
    <w:unhideWhenUsed/>
    <w:rsid w:val="00C06C48"/>
    <w:rPr>
      <w:vertAlign w:val="superscript"/>
    </w:rPr>
  </w:style>
  <w:style w:type="paragraph" w:customStyle="1" w:styleId="Standard">
    <w:name w:val="Standard"/>
    <w:rsid w:val="00FF2505"/>
    <w:pPr>
      <w:keepNext/>
      <w:suppressAutoHyphens/>
      <w:autoSpaceDN w:val="0"/>
      <w:spacing w:before="120" w:after="240"/>
      <w:ind w:left="284"/>
      <w:jc w:val="both"/>
      <w:textAlignment w:val="baseline"/>
    </w:pPr>
    <w:rPr>
      <w:kern w:val="3"/>
      <w:sz w:val="24"/>
      <w:szCs w:val="24"/>
      <w:lang w:val="en-AU"/>
    </w:rPr>
  </w:style>
  <w:style w:type="table" w:styleId="MediumGrid3-Accent5">
    <w:name w:val="Medium Grid 3 Accent 5"/>
    <w:basedOn w:val="TableNormal"/>
    <w:uiPriority w:val="69"/>
    <w:rsid w:val="000F17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0F170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semiHidden/>
    <w:rsid w:val="0016011C"/>
    <w:rPr>
      <w:rFonts w:asciiTheme="majorHAnsi" w:eastAsiaTheme="majorEastAsia" w:hAnsiTheme="majorHAnsi" w:cstheme="majorBidi"/>
      <w:color w:val="243F60" w:themeColor="accent1" w:themeShade="7F"/>
      <w:sz w:val="24"/>
      <w:szCs w:val="24"/>
      <w:lang w:val="en-AU" w:eastAsia="ar-SA"/>
    </w:rPr>
  </w:style>
  <w:style w:type="character" w:customStyle="1" w:styleId="Heading6Char">
    <w:name w:val="Heading 6 Char"/>
    <w:basedOn w:val="DefaultParagraphFont"/>
    <w:link w:val="Heading6"/>
    <w:uiPriority w:val="9"/>
    <w:semiHidden/>
    <w:rsid w:val="0016011C"/>
    <w:rPr>
      <w:rFonts w:asciiTheme="majorHAnsi" w:eastAsiaTheme="majorEastAsia" w:hAnsiTheme="majorHAnsi" w:cstheme="majorBidi"/>
      <w:i/>
      <w:iCs/>
      <w:color w:val="243F60" w:themeColor="accent1" w:themeShade="7F"/>
      <w:sz w:val="24"/>
      <w:szCs w:val="24"/>
      <w:lang w:val="en-AU" w:eastAsia="ar-SA"/>
    </w:rPr>
  </w:style>
  <w:style w:type="character" w:customStyle="1" w:styleId="Heading7Char">
    <w:name w:val="Heading 7 Char"/>
    <w:basedOn w:val="DefaultParagraphFont"/>
    <w:link w:val="Heading7"/>
    <w:uiPriority w:val="9"/>
    <w:semiHidden/>
    <w:rsid w:val="0016011C"/>
    <w:rPr>
      <w:rFonts w:asciiTheme="majorHAnsi" w:eastAsiaTheme="majorEastAsia" w:hAnsiTheme="majorHAnsi" w:cstheme="majorBidi"/>
      <w:i/>
      <w:iCs/>
      <w:color w:val="404040" w:themeColor="text1" w:themeTint="BF"/>
      <w:sz w:val="24"/>
      <w:szCs w:val="24"/>
      <w:lang w:val="en-AU" w:eastAsia="ar-SA"/>
    </w:rPr>
  </w:style>
  <w:style w:type="character" w:customStyle="1" w:styleId="Heading8Char">
    <w:name w:val="Heading 8 Char"/>
    <w:basedOn w:val="DefaultParagraphFont"/>
    <w:link w:val="Heading8"/>
    <w:uiPriority w:val="9"/>
    <w:semiHidden/>
    <w:rsid w:val="0016011C"/>
    <w:rPr>
      <w:rFonts w:asciiTheme="majorHAnsi" w:eastAsiaTheme="majorEastAsia" w:hAnsiTheme="majorHAnsi" w:cstheme="majorBidi"/>
      <w:color w:val="404040" w:themeColor="text1" w:themeTint="BF"/>
      <w:lang w:val="en-AU" w:eastAsia="ar-SA"/>
    </w:rPr>
  </w:style>
  <w:style w:type="character" w:customStyle="1" w:styleId="Heading9Char">
    <w:name w:val="Heading 9 Char"/>
    <w:basedOn w:val="DefaultParagraphFont"/>
    <w:link w:val="Heading9"/>
    <w:uiPriority w:val="9"/>
    <w:semiHidden/>
    <w:rsid w:val="0016011C"/>
    <w:rPr>
      <w:rFonts w:asciiTheme="majorHAnsi" w:eastAsiaTheme="majorEastAsia" w:hAnsiTheme="majorHAnsi" w:cstheme="majorBidi"/>
      <w:i/>
      <w:iCs/>
      <w:color w:val="404040" w:themeColor="text1" w:themeTint="BF"/>
      <w:lang w:val="en-AU" w:eastAsia="ar-SA"/>
    </w:rPr>
  </w:style>
  <w:style w:type="numbering" w:customStyle="1" w:styleId="WW8Num13">
    <w:name w:val="WW8Num13"/>
    <w:basedOn w:val="NoList"/>
    <w:rsid w:val="002645AD"/>
    <w:pPr>
      <w:numPr>
        <w:numId w:val="4"/>
      </w:numPr>
    </w:pPr>
  </w:style>
  <w:style w:type="character" w:customStyle="1" w:styleId="Heading2Char">
    <w:name w:val="Heading 2 Char"/>
    <w:basedOn w:val="DefaultParagraphFont"/>
    <w:link w:val="Heading2"/>
    <w:rsid w:val="003468C0"/>
    <w:rPr>
      <w:rFonts w:ascii="Arial" w:hAnsi="Arial" w:cs="Arial"/>
      <w:b/>
      <w:bCs/>
      <w:i/>
      <w:iCs/>
      <w:sz w:val="28"/>
      <w:szCs w:val="28"/>
      <w:lang w:val="en-AU" w:eastAsia="en-AU"/>
    </w:rPr>
  </w:style>
  <w:style w:type="paragraph" w:styleId="EndnoteText">
    <w:name w:val="endnote text"/>
    <w:basedOn w:val="Normal"/>
    <w:link w:val="EndnoteTextChar"/>
    <w:uiPriority w:val="99"/>
    <w:semiHidden/>
    <w:unhideWhenUsed/>
    <w:rsid w:val="00D66E1F"/>
    <w:pPr>
      <w:spacing w:before="0" w:after="0"/>
    </w:pPr>
    <w:rPr>
      <w:sz w:val="20"/>
      <w:szCs w:val="20"/>
    </w:rPr>
  </w:style>
  <w:style w:type="character" w:customStyle="1" w:styleId="EndnoteTextChar">
    <w:name w:val="Endnote Text Char"/>
    <w:basedOn w:val="DefaultParagraphFont"/>
    <w:link w:val="EndnoteText"/>
    <w:uiPriority w:val="99"/>
    <w:semiHidden/>
    <w:rsid w:val="00D66E1F"/>
    <w:rPr>
      <w:lang w:val="en-AU" w:eastAsia="ar-SA"/>
    </w:rPr>
  </w:style>
  <w:style w:type="character" w:styleId="EndnoteReference">
    <w:name w:val="endnote reference"/>
    <w:basedOn w:val="DefaultParagraphFont"/>
    <w:uiPriority w:val="99"/>
    <w:semiHidden/>
    <w:unhideWhenUsed/>
    <w:rsid w:val="00D66E1F"/>
    <w:rPr>
      <w:vertAlign w:val="superscript"/>
    </w:rPr>
  </w:style>
  <w:style w:type="paragraph" w:styleId="NormalWeb">
    <w:name w:val="Normal (Web)"/>
    <w:basedOn w:val="Normal"/>
    <w:uiPriority w:val="99"/>
    <w:semiHidden/>
    <w:unhideWhenUsed/>
    <w:rsid w:val="002A042D"/>
    <w:pPr>
      <w:keepNext w:val="0"/>
      <w:suppressAutoHyphens w:val="0"/>
      <w:spacing w:before="100" w:beforeAutospacing="1" w:after="100" w:afterAutospacing="1"/>
      <w:jc w:val="left"/>
    </w:pPr>
    <w:rPr>
      <w:lang w:val="en-GB" w:eastAsia="en-GB"/>
    </w:rPr>
  </w:style>
  <w:style w:type="character" w:styleId="FollowedHyperlink">
    <w:name w:val="FollowedHyperlink"/>
    <w:basedOn w:val="DefaultParagraphFont"/>
    <w:uiPriority w:val="99"/>
    <w:semiHidden/>
    <w:unhideWhenUsed/>
    <w:rsid w:val="00AA26F0"/>
    <w:rPr>
      <w:color w:val="800080" w:themeColor="followedHyperlink"/>
      <w:u w:val="single"/>
    </w:rPr>
  </w:style>
  <w:style w:type="table" w:styleId="LightList-Accent3">
    <w:name w:val="Light List Accent 3"/>
    <w:basedOn w:val="TableNormal"/>
    <w:uiPriority w:val="61"/>
    <w:rsid w:val="00251365"/>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778">
      <w:bodyDiv w:val="1"/>
      <w:marLeft w:val="0"/>
      <w:marRight w:val="0"/>
      <w:marTop w:val="0"/>
      <w:marBottom w:val="0"/>
      <w:divBdr>
        <w:top w:val="none" w:sz="0" w:space="0" w:color="auto"/>
        <w:left w:val="none" w:sz="0" w:space="0" w:color="auto"/>
        <w:bottom w:val="none" w:sz="0" w:space="0" w:color="auto"/>
        <w:right w:val="none" w:sz="0" w:space="0" w:color="auto"/>
      </w:divBdr>
    </w:div>
    <w:div w:id="69425604">
      <w:bodyDiv w:val="1"/>
      <w:marLeft w:val="0"/>
      <w:marRight w:val="0"/>
      <w:marTop w:val="0"/>
      <w:marBottom w:val="0"/>
      <w:divBdr>
        <w:top w:val="none" w:sz="0" w:space="0" w:color="auto"/>
        <w:left w:val="none" w:sz="0" w:space="0" w:color="auto"/>
        <w:bottom w:val="none" w:sz="0" w:space="0" w:color="auto"/>
        <w:right w:val="none" w:sz="0" w:space="0" w:color="auto"/>
      </w:divBdr>
    </w:div>
    <w:div w:id="139152371">
      <w:bodyDiv w:val="1"/>
      <w:marLeft w:val="0"/>
      <w:marRight w:val="0"/>
      <w:marTop w:val="0"/>
      <w:marBottom w:val="0"/>
      <w:divBdr>
        <w:top w:val="none" w:sz="0" w:space="0" w:color="auto"/>
        <w:left w:val="none" w:sz="0" w:space="0" w:color="auto"/>
        <w:bottom w:val="none" w:sz="0" w:space="0" w:color="auto"/>
        <w:right w:val="none" w:sz="0" w:space="0" w:color="auto"/>
      </w:divBdr>
    </w:div>
    <w:div w:id="591621481">
      <w:bodyDiv w:val="1"/>
      <w:marLeft w:val="0"/>
      <w:marRight w:val="0"/>
      <w:marTop w:val="0"/>
      <w:marBottom w:val="0"/>
      <w:divBdr>
        <w:top w:val="none" w:sz="0" w:space="0" w:color="auto"/>
        <w:left w:val="none" w:sz="0" w:space="0" w:color="auto"/>
        <w:bottom w:val="none" w:sz="0" w:space="0" w:color="auto"/>
        <w:right w:val="none" w:sz="0" w:space="0" w:color="auto"/>
      </w:divBdr>
      <w:divsChild>
        <w:div w:id="882014893">
          <w:marLeft w:val="0"/>
          <w:marRight w:val="0"/>
          <w:marTop w:val="0"/>
          <w:marBottom w:val="0"/>
          <w:divBdr>
            <w:top w:val="none" w:sz="0" w:space="0" w:color="auto"/>
            <w:left w:val="none" w:sz="0" w:space="0" w:color="auto"/>
            <w:bottom w:val="none" w:sz="0" w:space="0" w:color="auto"/>
            <w:right w:val="none" w:sz="0" w:space="0" w:color="auto"/>
          </w:divBdr>
        </w:div>
        <w:div w:id="1545171260">
          <w:marLeft w:val="0"/>
          <w:marRight w:val="0"/>
          <w:marTop w:val="0"/>
          <w:marBottom w:val="0"/>
          <w:divBdr>
            <w:top w:val="none" w:sz="0" w:space="0" w:color="auto"/>
            <w:left w:val="none" w:sz="0" w:space="0" w:color="auto"/>
            <w:bottom w:val="none" w:sz="0" w:space="0" w:color="auto"/>
            <w:right w:val="none" w:sz="0" w:space="0" w:color="auto"/>
          </w:divBdr>
        </w:div>
        <w:div w:id="1652712276">
          <w:marLeft w:val="0"/>
          <w:marRight w:val="0"/>
          <w:marTop w:val="0"/>
          <w:marBottom w:val="0"/>
          <w:divBdr>
            <w:top w:val="none" w:sz="0" w:space="0" w:color="auto"/>
            <w:left w:val="none" w:sz="0" w:space="0" w:color="auto"/>
            <w:bottom w:val="none" w:sz="0" w:space="0" w:color="auto"/>
            <w:right w:val="none" w:sz="0" w:space="0" w:color="auto"/>
          </w:divBdr>
        </w:div>
        <w:div w:id="1920480692">
          <w:marLeft w:val="0"/>
          <w:marRight w:val="0"/>
          <w:marTop w:val="0"/>
          <w:marBottom w:val="0"/>
          <w:divBdr>
            <w:top w:val="none" w:sz="0" w:space="0" w:color="auto"/>
            <w:left w:val="none" w:sz="0" w:space="0" w:color="auto"/>
            <w:bottom w:val="none" w:sz="0" w:space="0" w:color="auto"/>
            <w:right w:val="none" w:sz="0" w:space="0" w:color="auto"/>
          </w:divBdr>
        </w:div>
      </w:divsChild>
    </w:div>
    <w:div w:id="890962365">
      <w:bodyDiv w:val="1"/>
      <w:marLeft w:val="0"/>
      <w:marRight w:val="0"/>
      <w:marTop w:val="0"/>
      <w:marBottom w:val="0"/>
      <w:divBdr>
        <w:top w:val="none" w:sz="0" w:space="0" w:color="auto"/>
        <w:left w:val="none" w:sz="0" w:space="0" w:color="auto"/>
        <w:bottom w:val="none" w:sz="0" w:space="0" w:color="auto"/>
        <w:right w:val="none" w:sz="0" w:space="0" w:color="auto"/>
      </w:divBdr>
    </w:div>
    <w:div w:id="1049954997">
      <w:bodyDiv w:val="1"/>
      <w:marLeft w:val="0"/>
      <w:marRight w:val="0"/>
      <w:marTop w:val="0"/>
      <w:marBottom w:val="0"/>
      <w:divBdr>
        <w:top w:val="none" w:sz="0" w:space="0" w:color="auto"/>
        <w:left w:val="none" w:sz="0" w:space="0" w:color="auto"/>
        <w:bottom w:val="none" w:sz="0" w:space="0" w:color="auto"/>
        <w:right w:val="none" w:sz="0" w:space="0" w:color="auto"/>
      </w:divBdr>
    </w:div>
    <w:div w:id="1128012841">
      <w:bodyDiv w:val="1"/>
      <w:marLeft w:val="0"/>
      <w:marRight w:val="0"/>
      <w:marTop w:val="0"/>
      <w:marBottom w:val="0"/>
      <w:divBdr>
        <w:top w:val="none" w:sz="0" w:space="0" w:color="auto"/>
        <w:left w:val="none" w:sz="0" w:space="0" w:color="auto"/>
        <w:bottom w:val="none" w:sz="0" w:space="0" w:color="auto"/>
        <w:right w:val="none" w:sz="0" w:space="0" w:color="auto"/>
      </w:divBdr>
    </w:div>
    <w:div w:id="1392339616">
      <w:bodyDiv w:val="1"/>
      <w:marLeft w:val="0"/>
      <w:marRight w:val="0"/>
      <w:marTop w:val="0"/>
      <w:marBottom w:val="0"/>
      <w:divBdr>
        <w:top w:val="none" w:sz="0" w:space="0" w:color="auto"/>
        <w:left w:val="none" w:sz="0" w:space="0" w:color="auto"/>
        <w:bottom w:val="none" w:sz="0" w:space="0" w:color="auto"/>
        <w:right w:val="none" w:sz="0" w:space="0" w:color="auto"/>
      </w:divBdr>
    </w:div>
    <w:div w:id="1513035080">
      <w:bodyDiv w:val="1"/>
      <w:marLeft w:val="0"/>
      <w:marRight w:val="0"/>
      <w:marTop w:val="0"/>
      <w:marBottom w:val="0"/>
      <w:divBdr>
        <w:top w:val="none" w:sz="0" w:space="0" w:color="auto"/>
        <w:left w:val="none" w:sz="0" w:space="0" w:color="auto"/>
        <w:bottom w:val="none" w:sz="0" w:space="0" w:color="auto"/>
        <w:right w:val="none" w:sz="0" w:space="0" w:color="auto"/>
      </w:divBdr>
    </w:div>
    <w:div w:id="1515457000">
      <w:bodyDiv w:val="1"/>
      <w:marLeft w:val="0"/>
      <w:marRight w:val="0"/>
      <w:marTop w:val="0"/>
      <w:marBottom w:val="0"/>
      <w:divBdr>
        <w:top w:val="none" w:sz="0" w:space="0" w:color="auto"/>
        <w:left w:val="none" w:sz="0" w:space="0" w:color="auto"/>
        <w:bottom w:val="none" w:sz="0" w:space="0" w:color="auto"/>
        <w:right w:val="none" w:sz="0" w:space="0" w:color="auto"/>
      </w:divBdr>
      <w:divsChild>
        <w:div w:id="1505700813">
          <w:marLeft w:val="0"/>
          <w:marRight w:val="0"/>
          <w:marTop w:val="0"/>
          <w:marBottom w:val="0"/>
          <w:divBdr>
            <w:top w:val="none" w:sz="0" w:space="0" w:color="auto"/>
            <w:left w:val="none" w:sz="0" w:space="0" w:color="auto"/>
            <w:bottom w:val="none" w:sz="0" w:space="0" w:color="auto"/>
            <w:right w:val="none" w:sz="0" w:space="0" w:color="auto"/>
          </w:divBdr>
          <w:divsChild>
            <w:div w:id="204955240">
              <w:marLeft w:val="0"/>
              <w:marRight w:val="0"/>
              <w:marTop w:val="0"/>
              <w:marBottom w:val="240"/>
              <w:divBdr>
                <w:top w:val="none" w:sz="0" w:space="0" w:color="auto"/>
                <w:left w:val="none" w:sz="0" w:space="0" w:color="auto"/>
                <w:bottom w:val="none" w:sz="0" w:space="0" w:color="auto"/>
                <w:right w:val="none" w:sz="0" w:space="0" w:color="auto"/>
              </w:divBdr>
            </w:div>
            <w:div w:id="306974672">
              <w:marLeft w:val="0"/>
              <w:marRight w:val="0"/>
              <w:marTop w:val="0"/>
              <w:marBottom w:val="240"/>
              <w:divBdr>
                <w:top w:val="none" w:sz="0" w:space="0" w:color="auto"/>
                <w:left w:val="none" w:sz="0" w:space="0" w:color="auto"/>
                <w:bottom w:val="none" w:sz="0" w:space="0" w:color="auto"/>
                <w:right w:val="none" w:sz="0" w:space="0" w:color="auto"/>
              </w:divBdr>
            </w:div>
            <w:div w:id="534655437">
              <w:marLeft w:val="0"/>
              <w:marRight w:val="0"/>
              <w:marTop w:val="0"/>
              <w:marBottom w:val="240"/>
              <w:divBdr>
                <w:top w:val="none" w:sz="0" w:space="0" w:color="auto"/>
                <w:left w:val="none" w:sz="0" w:space="0" w:color="auto"/>
                <w:bottom w:val="none" w:sz="0" w:space="0" w:color="auto"/>
                <w:right w:val="none" w:sz="0" w:space="0" w:color="auto"/>
              </w:divBdr>
            </w:div>
            <w:div w:id="683441326">
              <w:marLeft w:val="0"/>
              <w:marRight w:val="0"/>
              <w:marTop w:val="0"/>
              <w:marBottom w:val="240"/>
              <w:divBdr>
                <w:top w:val="none" w:sz="0" w:space="0" w:color="auto"/>
                <w:left w:val="none" w:sz="0" w:space="0" w:color="auto"/>
                <w:bottom w:val="none" w:sz="0" w:space="0" w:color="auto"/>
                <w:right w:val="none" w:sz="0" w:space="0" w:color="auto"/>
              </w:divBdr>
            </w:div>
            <w:div w:id="869412705">
              <w:marLeft w:val="0"/>
              <w:marRight w:val="0"/>
              <w:marTop w:val="0"/>
              <w:marBottom w:val="240"/>
              <w:divBdr>
                <w:top w:val="none" w:sz="0" w:space="0" w:color="auto"/>
                <w:left w:val="none" w:sz="0" w:space="0" w:color="auto"/>
                <w:bottom w:val="none" w:sz="0" w:space="0" w:color="auto"/>
                <w:right w:val="none" w:sz="0" w:space="0" w:color="auto"/>
              </w:divBdr>
            </w:div>
            <w:div w:id="888103949">
              <w:marLeft w:val="0"/>
              <w:marRight w:val="0"/>
              <w:marTop w:val="0"/>
              <w:marBottom w:val="240"/>
              <w:divBdr>
                <w:top w:val="none" w:sz="0" w:space="0" w:color="auto"/>
                <w:left w:val="none" w:sz="0" w:space="0" w:color="auto"/>
                <w:bottom w:val="none" w:sz="0" w:space="0" w:color="auto"/>
                <w:right w:val="none" w:sz="0" w:space="0" w:color="auto"/>
              </w:divBdr>
            </w:div>
            <w:div w:id="1544974684">
              <w:marLeft w:val="0"/>
              <w:marRight w:val="0"/>
              <w:marTop w:val="0"/>
              <w:marBottom w:val="240"/>
              <w:divBdr>
                <w:top w:val="none" w:sz="0" w:space="0" w:color="auto"/>
                <w:left w:val="none" w:sz="0" w:space="0" w:color="auto"/>
                <w:bottom w:val="none" w:sz="0" w:space="0" w:color="auto"/>
                <w:right w:val="none" w:sz="0" w:space="0" w:color="auto"/>
              </w:divBdr>
            </w:div>
            <w:div w:id="1686980797">
              <w:marLeft w:val="0"/>
              <w:marRight w:val="0"/>
              <w:marTop w:val="0"/>
              <w:marBottom w:val="240"/>
              <w:divBdr>
                <w:top w:val="none" w:sz="0" w:space="0" w:color="auto"/>
                <w:left w:val="none" w:sz="0" w:space="0" w:color="auto"/>
                <w:bottom w:val="none" w:sz="0" w:space="0" w:color="auto"/>
                <w:right w:val="none" w:sz="0" w:space="0" w:color="auto"/>
              </w:divBdr>
            </w:div>
            <w:div w:id="1817719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5645224">
      <w:bodyDiv w:val="1"/>
      <w:marLeft w:val="0"/>
      <w:marRight w:val="0"/>
      <w:marTop w:val="0"/>
      <w:marBottom w:val="0"/>
      <w:divBdr>
        <w:top w:val="none" w:sz="0" w:space="0" w:color="auto"/>
        <w:left w:val="none" w:sz="0" w:space="0" w:color="auto"/>
        <w:bottom w:val="none" w:sz="0" w:space="0" w:color="auto"/>
        <w:right w:val="none" w:sz="0" w:space="0" w:color="auto"/>
      </w:divBdr>
      <w:divsChild>
        <w:div w:id="71196981">
          <w:marLeft w:val="0"/>
          <w:marRight w:val="0"/>
          <w:marTop w:val="0"/>
          <w:marBottom w:val="0"/>
          <w:divBdr>
            <w:top w:val="none" w:sz="0" w:space="0" w:color="auto"/>
            <w:left w:val="none" w:sz="0" w:space="0" w:color="auto"/>
            <w:bottom w:val="none" w:sz="0" w:space="0" w:color="auto"/>
            <w:right w:val="none" w:sz="0" w:space="0" w:color="auto"/>
          </w:divBdr>
        </w:div>
        <w:div w:id="399333739">
          <w:marLeft w:val="0"/>
          <w:marRight w:val="0"/>
          <w:marTop w:val="0"/>
          <w:marBottom w:val="0"/>
          <w:divBdr>
            <w:top w:val="none" w:sz="0" w:space="0" w:color="auto"/>
            <w:left w:val="none" w:sz="0" w:space="0" w:color="auto"/>
            <w:bottom w:val="none" w:sz="0" w:space="0" w:color="auto"/>
            <w:right w:val="none" w:sz="0" w:space="0" w:color="auto"/>
          </w:divBdr>
        </w:div>
        <w:div w:id="1365011103">
          <w:marLeft w:val="0"/>
          <w:marRight w:val="0"/>
          <w:marTop w:val="0"/>
          <w:marBottom w:val="0"/>
          <w:divBdr>
            <w:top w:val="none" w:sz="0" w:space="0" w:color="auto"/>
            <w:left w:val="none" w:sz="0" w:space="0" w:color="auto"/>
            <w:bottom w:val="none" w:sz="0" w:space="0" w:color="auto"/>
            <w:right w:val="none" w:sz="0" w:space="0" w:color="auto"/>
          </w:divBdr>
        </w:div>
        <w:div w:id="1959601801">
          <w:marLeft w:val="0"/>
          <w:marRight w:val="0"/>
          <w:marTop w:val="0"/>
          <w:marBottom w:val="0"/>
          <w:divBdr>
            <w:top w:val="none" w:sz="0" w:space="0" w:color="auto"/>
            <w:left w:val="none" w:sz="0" w:space="0" w:color="auto"/>
            <w:bottom w:val="none" w:sz="0" w:space="0" w:color="auto"/>
            <w:right w:val="none" w:sz="0" w:space="0" w:color="auto"/>
          </w:divBdr>
        </w:div>
      </w:divsChild>
    </w:div>
    <w:div w:id="1680309936">
      <w:bodyDiv w:val="1"/>
      <w:marLeft w:val="0"/>
      <w:marRight w:val="0"/>
      <w:marTop w:val="0"/>
      <w:marBottom w:val="0"/>
      <w:divBdr>
        <w:top w:val="none" w:sz="0" w:space="0" w:color="auto"/>
        <w:left w:val="none" w:sz="0" w:space="0" w:color="auto"/>
        <w:bottom w:val="none" w:sz="0" w:space="0" w:color="auto"/>
        <w:right w:val="none" w:sz="0" w:space="0" w:color="auto"/>
      </w:divBdr>
    </w:div>
    <w:div w:id="1746605177">
      <w:bodyDiv w:val="1"/>
      <w:marLeft w:val="0"/>
      <w:marRight w:val="0"/>
      <w:marTop w:val="0"/>
      <w:marBottom w:val="0"/>
      <w:divBdr>
        <w:top w:val="none" w:sz="0" w:space="0" w:color="auto"/>
        <w:left w:val="none" w:sz="0" w:space="0" w:color="auto"/>
        <w:bottom w:val="none" w:sz="0" w:space="0" w:color="auto"/>
        <w:right w:val="none" w:sz="0" w:space="0" w:color="auto"/>
      </w:divBdr>
    </w:div>
    <w:div w:id="2055501988">
      <w:bodyDiv w:val="1"/>
      <w:marLeft w:val="0"/>
      <w:marRight w:val="0"/>
      <w:marTop w:val="0"/>
      <w:marBottom w:val="0"/>
      <w:divBdr>
        <w:top w:val="none" w:sz="0" w:space="0" w:color="auto"/>
        <w:left w:val="none" w:sz="0" w:space="0" w:color="auto"/>
        <w:bottom w:val="none" w:sz="0" w:space="0" w:color="auto"/>
        <w:right w:val="none" w:sz="0" w:space="0" w:color="auto"/>
      </w:divBdr>
      <w:divsChild>
        <w:div w:id="379784640">
          <w:marLeft w:val="0"/>
          <w:marRight w:val="0"/>
          <w:marTop w:val="0"/>
          <w:marBottom w:val="0"/>
          <w:divBdr>
            <w:top w:val="none" w:sz="0" w:space="0" w:color="auto"/>
            <w:left w:val="none" w:sz="0" w:space="0" w:color="auto"/>
            <w:bottom w:val="none" w:sz="0" w:space="0" w:color="auto"/>
            <w:right w:val="none" w:sz="0" w:space="0" w:color="auto"/>
          </w:divBdr>
          <w:divsChild>
            <w:div w:id="271012614">
              <w:marLeft w:val="0"/>
              <w:marRight w:val="0"/>
              <w:marTop w:val="0"/>
              <w:marBottom w:val="240"/>
              <w:divBdr>
                <w:top w:val="none" w:sz="0" w:space="0" w:color="auto"/>
                <w:left w:val="none" w:sz="0" w:space="0" w:color="auto"/>
                <w:bottom w:val="none" w:sz="0" w:space="0" w:color="auto"/>
                <w:right w:val="none" w:sz="0" w:space="0" w:color="auto"/>
              </w:divBdr>
            </w:div>
            <w:div w:id="512845422">
              <w:marLeft w:val="0"/>
              <w:marRight w:val="0"/>
              <w:marTop w:val="0"/>
              <w:marBottom w:val="240"/>
              <w:divBdr>
                <w:top w:val="none" w:sz="0" w:space="0" w:color="auto"/>
                <w:left w:val="none" w:sz="0" w:space="0" w:color="auto"/>
                <w:bottom w:val="none" w:sz="0" w:space="0" w:color="auto"/>
                <w:right w:val="none" w:sz="0" w:space="0" w:color="auto"/>
              </w:divBdr>
            </w:div>
            <w:div w:id="806438423">
              <w:marLeft w:val="0"/>
              <w:marRight w:val="0"/>
              <w:marTop w:val="0"/>
              <w:marBottom w:val="240"/>
              <w:divBdr>
                <w:top w:val="none" w:sz="0" w:space="0" w:color="auto"/>
                <w:left w:val="none" w:sz="0" w:space="0" w:color="auto"/>
                <w:bottom w:val="none" w:sz="0" w:space="0" w:color="auto"/>
                <w:right w:val="none" w:sz="0" w:space="0" w:color="auto"/>
              </w:divBdr>
            </w:div>
            <w:div w:id="848718709">
              <w:marLeft w:val="0"/>
              <w:marRight w:val="0"/>
              <w:marTop w:val="0"/>
              <w:marBottom w:val="240"/>
              <w:divBdr>
                <w:top w:val="none" w:sz="0" w:space="0" w:color="auto"/>
                <w:left w:val="none" w:sz="0" w:space="0" w:color="auto"/>
                <w:bottom w:val="none" w:sz="0" w:space="0" w:color="auto"/>
                <w:right w:val="none" w:sz="0" w:space="0" w:color="auto"/>
              </w:divBdr>
            </w:div>
            <w:div w:id="891575108">
              <w:marLeft w:val="0"/>
              <w:marRight w:val="0"/>
              <w:marTop w:val="0"/>
              <w:marBottom w:val="240"/>
              <w:divBdr>
                <w:top w:val="none" w:sz="0" w:space="0" w:color="auto"/>
                <w:left w:val="none" w:sz="0" w:space="0" w:color="auto"/>
                <w:bottom w:val="none" w:sz="0" w:space="0" w:color="auto"/>
                <w:right w:val="none" w:sz="0" w:space="0" w:color="auto"/>
              </w:divBdr>
            </w:div>
            <w:div w:id="1139956509">
              <w:marLeft w:val="0"/>
              <w:marRight w:val="0"/>
              <w:marTop w:val="0"/>
              <w:marBottom w:val="240"/>
              <w:divBdr>
                <w:top w:val="none" w:sz="0" w:space="0" w:color="auto"/>
                <w:left w:val="none" w:sz="0" w:space="0" w:color="auto"/>
                <w:bottom w:val="none" w:sz="0" w:space="0" w:color="auto"/>
                <w:right w:val="none" w:sz="0" w:space="0" w:color="auto"/>
              </w:divBdr>
            </w:div>
            <w:div w:id="1180778061">
              <w:marLeft w:val="0"/>
              <w:marRight w:val="0"/>
              <w:marTop w:val="0"/>
              <w:marBottom w:val="240"/>
              <w:divBdr>
                <w:top w:val="none" w:sz="0" w:space="0" w:color="auto"/>
                <w:left w:val="none" w:sz="0" w:space="0" w:color="auto"/>
                <w:bottom w:val="none" w:sz="0" w:space="0" w:color="auto"/>
                <w:right w:val="none" w:sz="0" w:space="0" w:color="auto"/>
              </w:divBdr>
            </w:div>
            <w:div w:id="1717048753">
              <w:marLeft w:val="0"/>
              <w:marRight w:val="0"/>
              <w:marTop w:val="0"/>
              <w:marBottom w:val="240"/>
              <w:divBdr>
                <w:top w:val="none" w:sz="0" w:space="0" w:color="auto"/>
                <w:left w:val="none" w:sz="0" w:space="0" w:color="auto"/>
                <w:bottom w:val="none" w:sz="0" w:space="0" w:color="auto"/>
                <w:right w:val="none" w:sz="0" w:space="0" w:color="auto"/>
              </w:divBdr>
            </w:div>
            <w:div w:id="2066829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gitalhealth.gov.au/using-the-my-health-record-system/maintaining-digital-health-in-your-practice/patient-consent" TargetMode="External"/><Relationship Id="rId4" Type="http://schemas.openxmlformats.org/officeDocument/2006/relationships/settings" Target="settings.xml"/><Relationship Id="rId9" Type="http://schemas.openxmlformats.org/officeDocument/2006/relationships/hyperlink" Target="https://www.ttu.ee/public/k/Kliinilise_meditsiini_instituut/AccessRightsandOrganizationalManagementinImplementationofEstonianElectronicHealthRecordSyste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23A0-CCD0-4099-B516-0874C024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40747</TotalTime>
  <Pages>16</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Heard</dc:creator>
  <cp:keywords/>
  <dc:description/>
  <cp:lastModifiedBy>Thomas Beale</cp:lastModifiedBy>
  <cp:revision>86</cp:revision>
  <cp:lastPrinted>2009-05-13T16:28:00Z</cp:lastPrinted>
  <dcterms:created xsi:type="dcterms:W3CDTF">2010-05-04T14:43:00Z</dcterms:created>
  <dcterms:modified xsi:type="dcterms:W3CDTF">2018-02-15T15:06:00Z</dcterms:modified>
</cp:coreProperties>
</file>